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C6E90" w14:textId="77777777" w:rsidR="009A7D5E" w:rsidRPr="00E94851" w:rsidRDefault="009A7D5E" w:rsidP="009A7D5E">
      <w:pPr>
        <w:spacing w:line="360" w:lineRule="auto"/>
        <w:jc w:val="center"/>
        <w:rPr>
          <w:b/>
          <w:sz w:val="20"/>
          <w:szCs w:val="20"/>
        </w:rPr>
      </w:pPr>
      <w:r w:rsidRPr="00E94851">
        <w:rPr>
          <w:b/>
          <w:sz w:val="20"/>
          <w:szCs w:val="20"/>
        </w:rPr>
        <w:t>N4750 Medication Sheet</w:t>
      </w:r>
    </w:p>
    <w:tbl>
      <w:tblPr>
        <w:tblStyle w:val="TableGrid"/>
        <w:tblpPr w:leftFromText="180" w:rightFromText="180" w:vertAnchor="page" w:horzAnchor="page" w:tblpX="469" w:tblpY="1441"/>
        <w:tblW w:w="14897" w:type="dxa"/>
        <w:tblLook w:val="04A0" w:firstRow="1" w:lastRow="0" w:firstColumn="1" w:lastColumn="0" w:noHBand="0" w:noVBand="1"/>
      </w:tblPr>
      <w:tblGrid>
        <w:gridCol w:w="3322"/>
        <w:gridCol w:w="2045"/>
        <w:gridCol w:w="2499"/>
        <w:gridCol w:w="1881"/>
        <w:gridCol w:w="2604"/>
        <w:gridCol w:w="2546"/>
      </w:tblGrid>
      <w:tr w:rsidR="00C525A3" w:rsidRPr="00E94851" w14:paraId="02269724" w14:textId="77777777" w:rsidTr="0071132E">
        <w:trPr>
          <w:trHeight w:val="1714"/>
        </w:trPr>
        <w:tc>
          <w:tcPr>
            <w:tcW w:w="3322" w:type="dxa"/>
          </w:tcPr>
          <w:p w14:paraId="3DCA728A" w14:textId="77777777" w:rsidR="00C525A3" w:rsidRPr="00E94851" w:rsidRDefault="00C525A3" w:rsidP="0071132E">
            <w:pPr>
              <w:jc w:val="center"/>
              <w:rPr>
                <w:sz w:val="20"/>
                <w:szCs w:val="20"/>
              </w:rPr>
            </w:pPr>
            <w:r w:rsidRPr="00E94851">
              <w:rPr>
                <w:b/>
                <w:sz w:val="20"/>
                <w:szCs w:val="20"/>
              </w:rPr>
              <w:t>Medication, Dose, Route, Frequency</w:t>
            </w:r>
          </w:p>
        </w:tc>
        <w:tc>
          <w:tcPr>
            <w:tcW w:w="2045" w:type="dxa"/>
          </w:tcPr>
          <w:p w14:paraId="1A98E503" w14:textId="77777777" w:rsidR="00C525A3" w:rsidRPr="00E94851" w:rsidRDefault="00C525A3" w:rsidP="0071132E">
            <w:pPr>
              <w:jc w:val="center"/>
              <w:rPr>
                <w:sz w:val="20"/>
                <w:szCs w:val="20"/>
              </w:rPr>
            </w:pPr>
            <w:r w:rsidRPr="00E94851">
              <w:rPr>
                <w:b/>
                <w:sz w:val="20"/>
                <w:szCs w:val="20"/>
              </w:rPr>
              <w:t>Classification and Action</w:t>
            </w:r>
          </w:p>
        </w:tc>
        <w:tc>
          <w:tcPr>
            <w:tcW w:w="2499" w:type="dxa"/>
          </w:tcPr>
          <w:p w14:paraId="76966580" w14:textId="77777777" w:rsidR="00C525A3" w:rsidRPr="00E94851" w:rsidRDefault="00C525A3" w:rsidP="0071132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94851">
              <w:rPr>
                <w:b/>
                <w:sz w:val="20"/>
                <w:szCs w:val="20"/>
              </w:rPr>
              <w:t>Rationale for Administration</w:t>
            </w:r>
          </w:p>
          <w:p w14:paraId="02C0CF4C" w14:textId="77777777" w:rsidR="00C525A3" w:rsidRPr="00E94851" w:rsidRDefault="00C525A3" w:rsidP="0071132E">
            <w:pPr>
              <w:jc w:val="center"/>
              <w:rPr>
                <w:sz w:val="20"/>
                <w:szCs w:val="20"/>
              </w:rPr>
            </w:pPr>
            <w:r w:rsidRPr="00E94851">
              <w:rPr>
                <w:b/>
                <w:sz w:val="20"/>
                <w:szCs w:val="20"/>
              </w:rPr>
              <w:t>(Explain why the patient is receiving the medication)</w:t>
            </w:r>
          </w:p>
        </w:tc>
        <w:tc>
          <w:tcPr>
            <w:tcW w:w="1881" w:type="dxa"/>
          </w:tcPr>
          <w:p w14:paraId="39DD4A63" w14:textId="77777777" w:rsidR="00C525A3" w:rsidRPr="00E94851" w:rsidRDefault="00C525A3" w:rsidP="0071132E">
            <w:pPr>
              <w:jc w:val="center"/>
              <w:rPr>
                <w:sz w:val="20"/>
                <w:szCs w:val="20"/>
              </w:rPr>
            </w:pPr>
            <w:r w:rsidRPr="00E94851">
              <w:rPr>
                <w:b/>
                <w:sz w:val="20"/>
                <w:szCs w:val="20"/>
              </w:rPr>
              <w:t>Most Common Side Effects/Adverse Reactions</w:t>
            </w:r>
          </w:p>
        </w:tc>
        <w:tc>
          <w:tcPr>
            <w:tcW w:w="2604" w:type="dxa"/>
          </w:tcPr>
          <w:p w14:paraId="797B7F25" w14:textId="77777777" w:rsidR="00C525A3" w:rsidRPr="00E94851" w:rsidRDefault="00C525A3" w:rsidP="0071132E">
            <w:pPr>
              <w:jc w:val="center"/>
              <w:rPr>
                <w:sz w:val="20"/>
                <w:szCs w:val="20"/>
              </w:rPr>
            </w:pPr>
            <w:r w:rsidRPr="00E94851">
              <w:rPr>
                <w:b/>
                <w:sz w:val="20"/>
                <w:szCs w:val="20"/>
              </w:rPr>
              <w:t>Nursing Implications</w:t>
            </w:r>
          </w:p>
        </w:tc>
        <w:tc>
          <w:tcPr>
            <w:tcW w:w="2546" w:type="dxa"/>
          </w:tcPr>
          <w:p w14:paraId="11C9B4B7" w14:textId="77777777" w:rsidR="00C525A3" w:rsidRPr="00E94851" w:rsidRDefault="00C525A3" w:rsidP="0071132E">
            <w:pPr>
              <w:jc w:val="center"/>
              <w:rPr>
                <w:sz w:val="20"/>
                <w:szCs w:val="20"/>
              </w:rPr>
            </w:pPr>
            <w:r w:rsidRPr="00E94851">
              <w:rPr>
                <w:b/>
                <w:sz w:val="20"/>
                <w:szCs w:val="20"/>
              </w:rPr>
              <w:t>Contraindications</w:t>
            </w:r>
          </w:p>
        </w:tc>
      </w:tr>
      <w:tr w:rsidR="00C525A3" w:rsidRPr="00E94851" w14:paraId="4DA440E1" w14:textId="77777777" w:rsidTr="0071132E">
        <w:trPr>
          <w:trHeight w:val="439"/>
        </w:trPr>
        <w:tc>
          <w:tcPr>
            <w:tcW w:w="3322" w:type="dxa"/>
          </w:tcPr>
          <w:p w14:paraId="1D80FE92" w14:textId="4B8D089E" w:rsidR="00C525A3" w:rsidRPr="00E94851" w:rsidRDefault="00C525A3" w:rsidP="00C525A3">
            <w:pPr>
              <w:pStyle w:val="ListParagraph"/>
              <w:numPr>
                <w:ilvl w:val="0"/>
                <w:numId w:val="7"/>
              </w:numPr>
              <w:tabs>
                <w:tab w:val="left" w:pos="2430"/>
                <w:tab w:val="left" w:pos="2700"/>
              </w:tabs>
              <w:ind w:right="-11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51">
              <w:rPr>
                <w:rFonts w:ascii="Times New Roman" w:hAnsi="Times New Roman" w:cs="Times New Roman"/>
                <w:b/>
                <w:sz w:val="20"/>
                <w:szCs w:val="20"/>
              </w:rPr>
              <w:t>Enoxaparin (</w:t>
            </w:r>
            <w:proofErr w:type="spellStart"/>
            <w:r w:rsidRPr="00E94851">
              <w:rPr>
                <w:rFonts w:ascii="Times New Roman" w:hAnsi="Times New Roman" w:cs="Times New Roman"/>
                <w:b/>
                <w:sz w:val="20"/>
                <w:szCs w:val="20"/>
              </w:rPr>
              <w:t>Lovenox</w:t>
            </w:r>
            <w:proofErr w:type="spellEnd"/>
            <w:r w:rsidRPr="00E9485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8B2ED3F" w14:textId="295224A2" w:rsidR="00C525A3" w:rsidRPr="00E94851" w:rsidRDefault="0077757E" w:rsidP="0071132E">
            <w:pPr>
              <w:tabs>
                <w:tab w:val="left" w:pos="2430"/>
                <w:tab w:val="left" w:pos="2700"/>
              </w:tabs>
              <w:ind w:right="-1152"/>
              <w:rPr>
                <w:sz w:val="20"/>
                <w:szCs w:val="20"/>
              </w:rPr>
            </w:pPr>
            <w:r w:rsidRPr="00E94851">
              <w:rPr>
                <w:sz w:val="20"/>
                <w:szCs w:val="20"/>
              </w:rPr>
              <w:t>[30 mg=0.3 ml, SC, solution, daily]</w:t>
            </w:r>
          </w:p>
          <w:p w14:paraId="0344824D" w14:textId="77777777" w:rsidR="00C525A3" w:rsidRPr="00E94851" w:rsidRDefault="00C525A3" w:rsidP="0071132E">
            <w:pPr>
              <w:tabs>
                <w:tab w:val="left" w:pos="2430"/>
                <w:tab w:val="left" w:pos="2700"/>
              </w:tabs>
              <w:ind w:right="-1152"/>
              <w:rPr>
                <w:b/>
                <w:sz w:val="20"/>
                <w:szCs w:val="20"/>
              </w:rPr>
            </w:pPr>
          </w:p>
          <w:p w14:paraId="7647738D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2E28CF2E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6EA0D1ED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2AA27679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35A7BFB9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7F72E5C8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75E63818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6909965A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2FD9DAE8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53AFB273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300F7C4B" w14:textId="77777777" w:rsidR="0077757E" w:rsidRPr="00E94851" w:rsidRDefault="0077757E" w:rsidP="0077757E">
            <w:pPr>
              <w:pStyle w:val="ListParagraph"/>
              <w:numPr>
                <w:ilvl w:val="0"/>
                <w:numId w:val="7"/>
              </w:numPr>
              <w:ind w:right="-11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4851">
              <w:rPr>
                <w:rFonts w:ascii="Times New Roman" w:hAnsi="Times New Roman" w:cs="Times New Roman"/>
                <w:b/>
                <w:sz w:val="20"/>
                <w:szCs w:val="20"/>
              </w:rPr>
              <w:t>Vancomycin</w:t>
            </w:r>
            <w:proofErr w:type="spellEnd"/>
          </w:p>
          <w:p w14:paraId="143CFEEF" w14:textId="3D16A8AF" w:rsidR="0077757E" w:rsidRPr="00E94851" w:rsidRDefault="0077757E" w:rsidP="0071132E">
            <w:pPr>
              <w:rPr>
                <w:sz w:val="20"/>
                <w:szCs w:val="20"/>
              </w:rPr>
            </w:pPr>
            <w:r w:rsidRPr="00E94851">
              <w:rPr>
                <w:sz w:val="20"/>
                <w:szCs w:val="20"/>
              </w:rPr>
              <w:t xml:space="preserve">[1 </w:t>
            </w:r>
            <w:proofErr w:type="spellStart"/>
            <w:r w:rsidRPr="00E94851">
              <w:rPr>
                <w:sz w:val="20"/>
                <w:szCs w:val="20"/>
              </w:rPr>
              <w:t>gm</w:t>
            </w:r>
            <w:proofErr w:type="spellEnd"/>
            <w:r w:rsidRPr="00E94851">
              <w:rPr>
                <w:sz w:val="20"/>
                <w:szCs w:val="20"/>
              </w:rPr>
              <w:t>= 200 ml, IVPB, Q12H]</w:t>
            </w:r>
          </w:p>
          <w:p w14:paraId="030CD6AB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1E94084F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165DBA26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24BB0B83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48B18709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5D964FCA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6A7FEB52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48739B0E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16104201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08C0D2A5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685DB2D8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6DA2FD6E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20E1538F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7F4F4C51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202FC88C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642D65EB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3CABD804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278ADDA8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15664575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0F8361AA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3E466729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2DF076C6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7D094C76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68C75675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424CAFA1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12FA8743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3023CBAA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684906AE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54923DD1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7E655562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095A5764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69D75059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5AB7330A" w14:textId="77777777" w:rsidR="0077757E" w:rsidRDefault="0077757E" w:rsidP="0071132E">
            <w:pPr>
              <w:rPr>
                <w:sz w:val="20"/>
                <w:szCs w:val="20"/>
              </w:rPr>
            </w:pPr>
          </w:p>
          <w:p w14:paraId="45005E27" w14:textId="77777777" w:rsidR="00BB139E" w:rsidRPr="0095714F" w:rsidRDefault="00BB139E" w:rsidP="00BB139E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proofErr w:type="spellStart"/>
            <w:r w:rsidRPr="0095714F">
              <w:rPr>
                <w:b/>
                <w:sz w:val="20"/>
                <w:szCs w:val="20"/>
              </w:rPr>
              <w:t>Tigecycline</w:t>
            </w:r>
            <w:proofErr w:type="spellEnd"/>
            <w:r w:rsidRPr="0095714F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95714F">
              <w:rPr>
                <w:b/>
                <w:sz w:val="20"/>
                <w:szCs w:val="20"/>
              </w:rPr>
              <w:t>Tygacil</w:t>
            </w:r>
            <w:proofErr w:type="spellEnd"/>
            <w:r w:rsidRPr="0095714F">
              <w:rPr>
                <w:b/>
                <w:sz w:val="20"/>
                <w:szCs w:val="20"/>
              </w:rPr>
              <w:t>)</w:t>
            </w:r>
          </w:p>
          <w:p w14:paraId="5E36E6CD" w14:textId="0E48509E" w:rsidR="00BB139E" w:rsidRPr="00BB139E" w:rsidRDefault="00BB139E" w:rsidP="00BB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[50 mg, IVPB, Q12H]</w:t>
            </w:r>
          </w:p>
          <w:p w14:paraId="1824FA87" w14:textId="77777777" w:rsidR="0077757E" w:rsidRDefault="0077757E" w:rsidP="0071132E">
            <w:pPr>
              <w:rPr>
                <w:sz w:val="20"/>
                <w:szCs w:val="20"/>
              </w:rPr>
            </w:pPr>
          </w:p>
          <w:p w14:paraId="72EE5EB7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3DB4850C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5160FB3E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10936A38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025EA104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0353D28D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41C11243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26E6772B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72766EDB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4487B747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258EF20A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77E83BE7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234EF7B1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278114FF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1E0F505B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4C8A851B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792132AC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09A1F6D6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25871715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4A8D41F7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2828898F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3631EAD9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340B4DA4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2B995FB2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35F8EB75" w14:textId="77777777" w:rsidR="00160055" w:rsidRPr="00E94851" w:rsidRDefault="00160055" w:rsidP="0071132E">
            <w:pPr>
              <w:rPr>
                <w:sz w:val="20"/>
                <w:szCs w:val="20"/>
              </w:rPr>
            </w:pPr>
          </w:p>
          <w:p w14:paraId="36B573E9" w14:textId="77777777" w:rsidR="00C525A3" w:rsidRPr="00E94851" w:rsidRDefault="00C525A3" w:rsidP="0077757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4851">
              <w:rPr>
                <w:rFonts w:ascii="Times New Roman" w:hAnsi="Times New Roman" w:cs="Times New Roman"/>
                <w:b/>
                <w:sz w:val="20"/>
                <w:szCs w:val="20"/>
              </w:rPr>
              <w:t>Ondansetron</w:t>
            </w:r>
            <w:proofErr w:type="spellEnd"/>
            <w:r w:rsidRPr="00E94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(Zofran)</w:t>
            </w:r>
          </w:p>
          <w:p w14:paraId="6A2C8AE2" w14:textId="77777777" w:rsidR="00C525A3" w:rsidRPr="00E94851" w:rsidRDefault="00C525A3" w:rsidP="0071132E">
            <w:pPr>
              <w:rPr>
                <w:sz w:val="20"/>
                <w:szCs w:val="20"/>
              </w:rPr>
            </w:pPr>
            <w:r w:rsidRPr="00E94851">
              <w:rPr>
                <w:sz w:val="20"/>
                <w:szCs w:val="20"/>
              </w:rPr>
              <w:t>[4 mg= 2 ml, IV push, Q8H]</w:t>
            </w:r>
          </w:p>
          <w:p w14:paraId="49D8E6C1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21194E1C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62D65366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534A57FB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661E0F8C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2A47661F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10257B32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08F3EF08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1125AC6C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6D546CA5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5AD8E5BC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4DF2376F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60458ADE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66ED55EA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3A05E818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0FA5C4C0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6579C008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0AC8DB49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569133F8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7C9E9054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6A13D901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1678EA2F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37BCD95A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62EB2816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726DBE63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772DD977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6C854597" w14:textId="77777777" w:rsidR="0071132E" w:rsidRPr="00E94851" w:rsidRDefault="0071132E" w:rsidP="0071132E">
            <w:pPr>
              <w:rPr>
                <w:sz w:val="20"/>
                <w:szCs w:val="20"/>
              </w:rPr>
            </w:pPr>
          </w:p>
          <w:p w14:paraId="4FCBA6D1" w14:textId="4281F52F" w:rsidR="0071132E" w:rsidRPr="00E94851" w:rsidRDefault="0071132E" w:rsidP="0071132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4851">
              <w:rPr>
                <w:rFonts w:ascii="Times New Roman" w:hAnsi="Times New Roman" w:cs="Times New Roman"/>
                <w:b/>
                <w:sz w:val="20"/>
                <w:szCs w:val="20"/>
              </w:rPr>
              <w:t>Promethazine (Phenergan</w:t>
            </w:r>
            <w:r w:rsidRPr="00E9485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0F3F2ED1" w14:textId="06A43F84" w:rsidR="0071132E" w:rsidRPr="00E94851" w:rsidRDefault="0071132E" w:rsidP="0071132E">
            <w:pPr>
              <w:rPr>
                <w:sz w:val="20"/>
                <w:szCs w:val="20"/>
              </w:rPr>
            </w:pPr>
            <w:r w:rsidRPr="00E94851">
              <w:rPr>
                <w:sz w:val="20"/>
                <w:szCs w:val="20"/>
              </w:rPr>
              <w:t>[12.5 mg= 0.5 ml, IV slow push, solution, Q6H, PRN, N/V</w:t>
            </w:r>
          </w:p>
          <w:p w14:paraId="34FCB406" w14:textId="77777777" w:rsidR="00C525A3" w:rsidRDefault="00C525A3" w:rsidP="0071132E">
            <w:pPr>
              <w:rPr>
                <w:sz w:val="20"/>
                <w:szCs w:val="20"/>
              </w:rPr>
            </w:pPr>
          </w:p>
          <w:p w14:paraId="06B48868" w14:textId="77777777" w:rsidR="00E94851" w:rsidRDefault="00E94851" w:rsidP="0071132E">
            <w:pPr>
              <w:rPr>
                <w:sz w:val="20"/>
                <w:szCs w:val="20"/>
              </w:rPr>
            </w:pPr>
          </w:p>
          <w:p w14:paraId="56E1B1EE" w14:textId="77777777" w:rsidR="00E94851" w:rsidRDefault="00E94851" w:rsidP="0071132E">
            <w:pPr>
              <w:rPr>
                <w:sz w:val="20"/>
                <w:szCs w:val="20"/>
              </w:rPr>
            </w:pPr>
          </w:p>
          <w:p w14:paraId="2B73E17C" w14:textId="77777777" w:rsidR="00E94851" w:rsidRDefault="00E94851" w:rsidP="0071132E">
            <w:pPr>
              <w:rPr>
                <w:sz w:val="20"/>
                <w:szCs w:val="20"/>
              </w:rPr>
            </w:pPr>
          </w:p>
          <w:p w14:paraId="179E2CB7" w14:textId="77777777" w:rsidR="00E94851" w:rsidRDefault="00E94851" w:rsidP="0071132E">
            <w:pPr>
              <w:rPr>
                <w:sz w:val="20"/>
                <w:szCs w:val="20"/>
              </w:rPr>
            </w:pPr>
          </w:p>
          <w:p w14:paraId="2A2613B7" w14:textId="77777777" w:rsidR="00E94851" w:rsidRDefault="00E94851" w:rsidP="0071132E">
            <w:pPr>
              <w:rPr>
                <w:sz w:val="20"/>
                <w:szCs w:val="20"/>
              </w:rPr>
            </w:pPr>
          </w:p>
          <w:p w14:paraId="11CF25E8" w14:textId="77777777" w:rsidR="00E94851" w:rsidRDefault="00E94851" w:rsidP="0071132E">
            <w:pPr>
              <w:rPr>
                <w:sz w:val="20"/>
                <w:szCs w:val="20"/>
              </w:rPr>
            </w:pPr>
          </w:p>
          <w:p w14:paraId="52EDE143" w14:textId="77777777" w:rsidR="00E94851" w:rsidRDefault="00E94851" w:rsidP="0071132E">
            <w:pPr>
              <w:rPr>
                <w:sz w:val="20"/>
                <w:szCs w:val="20"/>
              </w:rPr>
            </w:pPr>
          </w:p>
          <w:p w14:paraId="0AE7B916" w14:textId="77777777" w:rsidR="00E94851" w:rsidRDefault="00E94851" w:rsidP="0071132E">
            <w:pPr>
              <w:rPr>
                <w:sz w:val="20"/>
                <w:szCs w:val="20"/>
              </w:rPr>
            </w:pPr>
          </w:p>
          <w:p w14:paraId="76B42A20" w14:textId="77777777" w:rsidR="00E94851" w:rsidRDefault="00E94851" w:rsidP="0071132E">
            <w:pPr>
              <w:rPr>
                <w:sz w:val="20"/>
                <w:szCs w:val="20"/>
              </w:rPr>
            </w:pPr>
          </w:p>
          <w:p w14:paraId="78C1031C" w14:textId="77777777" w:rsidR="00E94851" w:rsidRDefault="00E94851" w:rsidP="0071132E">
            <w:pPr>
              <w:rPr>
                <w:sz w:val="20"/>
                <w:szCs w:val="20"/>
              </w:rPr>
            </w:pPr>
          </w:p>
          <w:p w14:paraId="0874C60A" w14:textId="77777777" w:rsidR="00E94851" w:rsidRPr="00E94851" w:rsidRDefault="00E94851" w:rsidP="0071132E">
            <w:pPr>
              <w:rPr>
                <w:sz w:val="20"/>
                <w:szCs w:val="20"/>
              </w:rPr>
            </w:pPr>
          </w:p>
          <w:p w14:paraId="5D932584" w14:textId="77777777" w:rsidR="00C525A3" w:rsidRPr="00E94851" w:rsidRDefault="00C525A3" w:rsidP="0077757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Morphine </w:t>
            </w:r>
          </w:p>
          <w:p w14:paraId="711322E6" w14:textId="77777777" w:rsidR="00C525A3" w:rsidRPr="00E94851" w:rsidRDefault="00C525A3" w:rsidP="0071132E">
            <w:pPr>
              <w:rPr>
                <w:sz w:val="20"/>
                <w:szCs w:val="20"/>
              </w:rPr>
            </w:pPr>
            <w:r w:rsidRPr="00E94851">
              <w:rPr>
                <w:sz w:val="20"/>
                <w:szCs w:val="20"/>
              </w:rPr>
              <w:t>[5 mg/ml (30 ml)</w:t>
            </w:r>
          </w:p>
          <w:p w14:paraId="062ECB9E" w14:textId="77777777" w:rsidR="00C525A3" w:rsidRPr="00E94851" w:rsidRDefault="00C525A3" w:rsidP="0071132E">
            <w:pPr>
              <w:rPr>
                <w:sz w:val="20"/>
                <w:szCs w:val="20"/>
              </w:rPr>
            </w:pPr>
            <w:r w:rsidRPr="00E94851">
              <w:rPr>
                <w:sz w:val="20"/>
                <w:szCs w:val="20"/>
              </w:rPr>
              <w:t>Basal Rate: 0 mg/</w:t>
            </w:r>
            <w:proofErr w:type="spellStart"/>
            <w:r w:rsidRPr="00E94851">
              <w:rPr>
                <w:sz w:val="20"/>
                <w:szCs w:val="20"/>
              </w:rPr>
              <w:t>hr</w:t>
            </w:r>
            <w:proofErr w:type="spellEnd"/>
          </w:p>
          <w:p w14:paraId="4C461BD4" w14:textId="77777777" w:rsidR="00C525A3" w:rsidRPr="00E94851" w:rsidRDefault="00C525A3" w:rsidP="0071132E">
            <w:pPr>
              <w:rPr>
                <w:sz w:val="20"/>
                <w:szCs w:val="20"/>
              </w:rPr>
            </w:pPr>
            <w:r w:rsidRPr="00E94851">
              <w:rPr>
                <w:sz w:val="20"/>
                <w:szCs w:val="20"/>
              </w:rPr>
              <w:t>Dose (mg): 1.5, Lock out</w:t>
            </w:r>
          </w:p>
          <w:p w14:paraId="38A66D08" w14:textId="77777777" w:rsidR="00C525A3" w:rsidRPr="00E94851" w:rsidRDefault="00C525A3" w:rsidP="0071132E">
            <w:pPr>
              <w:rPr>
                <w:sz w:val="20"/>
                <w:szCs w:val="20"/>
              </w:rPr>
            </w:pPr>
            <w:r w:rsidRPr="00E94851">
              <w:rPr>
                <w:sz w:val="20"/>
                <w:szCs w:val="20"/>
              </w:rPr>
              <w:t xml:space="preserve">Interval: 10 min, 150 1 </w:t>
            </w:r>
            <w:proofErr w:type="spellStart"/>
            <w:r w:rsidRPr="00E94851">
              <w:rPr>
                <w:sz w:val="20"/>
                <w:szCs w:val="20"/>
              </w:rPr>
              <w:t>hr</w:t>
            </w:r>
            <w:proofErr w:type="spellEnd"/>
          </w:p>
          <w:p w14:paraId="63B19DA7" w14:textId="77777777" w:rsidR="00C525A3" w:rsidRPr="00E94851" w:rsidRDefault="00C525A3" w:rsidP="0071132E">
            <w:pPr>
              <w:rPr>
                <w:sz w:val="20"/>
                <w:szCs w:val="20"/>
              </w:rPr>
            </w:pPr>
            <w:r w:rsidRPr="00E94851">
              <w:rPr>
                <w:sz w:val="20"/>
                <w:szCs w:val="20"/>
              </w:rPr>
              <w:t>Limit (mg): 9.5 mg, 30 ml</w:t>
            </w:r>
          </w:p>
          <w:p w14:paraId="16BEB1A8" w14:textId="77777777" w:rsidR="00160055" w:rsidRDefault="00C525A3" w:rsidP="0071132E">
            <w:pPr>
              <w:rPr>
                <w:sz w:val="20"/>
                <w:szCs w:val="20"/>
              </w:rPr>
            </w:pPr>
            <w:r w:rsidRPr="00E94851">
              <w:rPr>
                <w:sz w:val="20"/>
                <w:szCs w:val="20"/>
              </w:rPr>
              <w:t>Solution, PCA, PCA 30]</w:t>
            </w:r>
          </w:p>
          <w:p w14:paraId="2CB228B7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227A06A6" w14:textId="0C301595" w:rsidR="00160055" w:rsidRPr="00160055" w:rsidRDefault="00160055" w:rsidP="00160055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3E5DDA6F" w14:textId="77777777" w:rsidR="00C525A3" w:rsidRPr="00E94851" w:rsidRDefault="00C525A3" w:rsidP="00C525A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4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Anticoagulant</w:t>
            </w:r>
          </w:p>
          <w:p w14:paraId="31919CC8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3A3870EF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22515738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258BC361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7DD33760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2B006798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499306AA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2873766F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70934F85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6CC23992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72278514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15D5E8EB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0A170E23" w14:textId="77777777" w:rsidR="0077757E" w:rsidRPr="00E94851" w:rsidRDefault="0077757E" w:rsidP="0077757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4851">
              <w:rPr>
                <w:rFonts w:ascii="Times New Roman" w:hAnsi="Times New Roman" w:cs="Times New Roman"/>
                <w:sz w:val="20"/>
                <w:szCs w:val="20"/>
              </w:rPr>
              <w:t>Antibiotic</w:t>
            </w:r>
          </w:p>
          <w:p w14:paraId="4A553458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0A73E64A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1B566181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5BE74351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5DABD0A0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236F842F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082ED4CC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07A641CC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1036DE9E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24070D05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3D8B4671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231A3DC9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40C10E9A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495A07D5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1DEB40B6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651E40C9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54A84179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55E4B2B8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41A92F09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127E3F38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104BFDBF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4E5236EB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4311A77E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1753699D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76076188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143592C6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664C6CDA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1CF8C682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0EE41E81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6072F3F5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33D14589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76BF4830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3505E794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5AE219AE" w14:textId="77777777" w:rsidR="0077757E" w:rsidRDefault="0077757E" w:rsidP="0071132E">
            <w:pPr>
              <w:rPr>
                <w:sz w:val="20"/>
                <w:szCs w:val="20"/>
              </w:rPr>
            </w:pPr>
          </w:p>
          <w:p w14:paraId="07496B1C" w14:textId="6799207F" w:rsidR="00BB139E" w:rsidRPr="00BB139E" w:rsidRDefault="0095714F" w:rsidP="00BB139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5714F">
              <w:rPr>
                <w:sz w:val="20"/>
                <w:szCs w:val="20"/>
              </w:rPr>
              <w:t xml:space="preserve">Broad-spectrum </w:t>
            </w:r>
            <w:proofErr w:type="spellStart"/>
            <w:r w:rsidRPr="0095714F">
              <w:rPr>
                <w:sz w:val="20"/>
                <w:szCs w:val="20"/>
              </w:rPr>
              <w:t>antiinfective</w:t>
            </w:r>
            <w:proofErr w:type="spellEnd"/>
          </w:p>
          <w:p w14:paraId="269EBD02" w14:textId="77777777" w:rsidR="00BB139E" w:rsidRPr="00E94851" w:rsidRDefault="00BB139E" w:rsidP="0071132E">
            <w:pPr>
              <w:rPr>
                <w:sz w:val="20"/>
                <w:szCs w:val="20"/>
              </w:rPr>
            </w:pPr>
          </w:p>
          <w:p w14:paraId="41C5FDEB" w14:textId="77777777" w:rsidR="00C525A3" w:rsidRDefault="00C525A3" w:rsidP="0071132E">
            <w:pPr>
              <w:rPr>
                <w:sz w:val="20"/>
                <w:szCs w:val="20"/>
              </w:rPr>
            </w:pPr>
          </w:p>
          <w:p w14:paraId="296DBF66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72546200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2A4091D0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0A269D20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06668FD2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27A831CC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7A8B3606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49A478FE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45C28901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530ED84F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7B8D2C95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71F440D1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42679952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1B71C153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76123B28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34745B9A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6EEAF657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46F947D0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6444D917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40494217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55793410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25CF1D22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159D7A98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7EC92438" w14:textId="77777777" w:rsidR="00160055" w:rsidRPr="00E94851" w:rsidRDefault="00160055" w:rsidP="0071132E">
            <w:pPr>
              <w:rPr>
                <w:sz w:val="20"/>
                <w:szCs w:val="20"/>
              </w:rPr>
            </w:pPr>
          </w:p>
          <w:p w14:paraId="63AAF410" w14:textId="77777777" w:rsidR="00C525A3" w:rsidRPr="00E94851" w:rsidRDefault="00C525A3" w:rsidP="0077757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4851">
              <w:rPr>
                <w:rFonts w:ascii="Times New Roman" w:hAnsi="Times New Roman" w:cs="Times New Roman"/>
                <w:sz w:val="20"/>
                <w:szCs w:val="20"/>
              </w:rPr>
              <w:t>Antiemetic</w:t>
            </w:r>
          </w:p>
          <w:p w14:paraId="306205E5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3B88F43D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100E9E08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1BD15287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4857D2AB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6C39CADA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0027FA25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18B4151E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4F9AD1CD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016F8CA2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2F72E2C4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657250B8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6D8F8E2D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374E4916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5156AAD5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04E47F0E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4CEAEF1D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6BE3F9C2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23F17998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01D28846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04C2A6EC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3A8A55C6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68095393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48D82A55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42A2C435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794E08D5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41B5BC94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52CB8E98" w14:textId="77777777" w:rsidR="0071132E" w:rsidRPr="00E94851" w:rsidRDefault="0071132E" w:rsidP="0071132E">
            <w:pPr>
              <w:rPr>
                <w:sz w:val="20"/>
                <w:szCs w:val="20"/>
              </w:rPr>
            </w:pPr>
          </w:p>
          <w:p w14:paraId="74105480" w14:textId="4101F26B" w:rsidR="00C525A3" w:rsidRDefault="0071132E" w:rsidP="0071132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4851">
              <w:rPr>
                <w:rFonts w:ascii="Times New Roman" w:hAnsi="Times New Roman" w:cs="Times New Roman"/>
                <w:sz w:val="20"/>
                <w:szCs w:val="20"/>
              </w:rPr>
              <w:t>Antiemetic, antihistamine</w:t>
            </w:r>
          </w:p>
          <w:p w14:paraId="02BDD841" w14:textId="77777777" w:rsidR="00E94851" w:rsidRDefault="00E94851" w:rsidP="00E94851">
            <w:pPr>
              <w:rPr>
                <w:sz w:val="20"/>
                <w:szCs w:val="20"/>
              </w:rPr>
            </w:pPr>
          </w:p>
          <w:p w14:paraId="083DAC0F" w14:textId="77777777" w:rsidR="00E94851" w:rsidRDefault="00E94851" w:rsidP="00E94851">
            <w:pPr>
              <w:rPr>
                <w:sz w:val="20"/>
                <w:szCs w:val="20"/>
              </w:rPr>
            </w:pPr>
          </w:p>
          <w:p w14:paraId="40FE6EED" w14:textId="77777777" w:rsidR="00E94851" w:rsidRDefault="00E94851" w:rsidP="00E94851">
            <w:pPr>
              <w:rPr>
                <w:sz w:val="20"/>
                <w:szCs w:val="20"/>
              </w:rPr>
            </w:pPr>
          </w:p>
          <w:p w14:paraId="7BF24BC4" w14:textId="77777777" w:rsidR="00E94851" w:rsidRDefault="00E94851" w:rsidP="00E94851">
            <w:pPr>
              <w:rPr>
                <w:sz w:val="20"/>
                <w:szCs w:val="20"/>
              </w:rPr>
            </w:pPr>
          </w:p>
          <w:p w14:paraId="19519DF5" w14:textId="77777777" w:rsidR="00E94851" w:rsidRDefault="00E94851" w:rsidP="00E94851">
            <w:pPr>
              <w:rPr>
                <w:sz w:val="20"/>
                <w:szCs w:val="20"/>
              </w:rPr>
            </w:pPr>
          </w:p>
          <w:p w14:paraId="6B258E4D" w14:textId="77777777" w:rsidR="00E94851" w:rsidRDefault="00E94851" w:rsidP="00E94851">
            <w:pPr>
              <w:rPr>
                <w:sz w:val="20"/>
                <w:szCs w:val="20"/>
              </w:rPr>
            </w:pPr>
          </w:p>
          <w:p w14:paraId="1AD1190F" w14:textId="77777777" w:rsidR="00E94851" w:rsidRDefault="00E94851" w:rsidP="00E94851">
            <w:pPr>
              <w:rPr>
                <w:sz w:val="20"/>
                <w:szCs w:val="20"/>
              </w:rPr>
            </w:pPr>
          </w:p>
          <w:p w14:paraId="62BB1C4E" w14:textId="77777777" w:rsidR="00E94851" w:rsidRDefault="00E94851" w:rsidP="00E94851">
            <w:pPr>
              <w:rPr>
                <w:sz w:val="20"/>
                <w:szCs w:val="20"/>
              </w:rPr>
            </w:pPr>
          </w:p>
          <w:p w14:paraId="3F39BD98" w14:textId="77777777" w:rsidR="00E94851" w:rsidRDefault="00E94851" w:rsidP="00E94851">
            <w:pPr>
              <w:rPr>
                <w:sz w:val="20"/>
                <w:szCs w:val="20"/>
              </w:rPr>
            </w:pPr>
          </w:p>
          <w:p w14:paraId="252B4138" w14:textId="77777777" w:rsidR="00E94851" w:rsidRDefault="00E94851" w:rsidP="00E94851">
            <w:pPr>
              <w:rPr>
                <w:sz w:val="20"/>
                <w:szCs w:val="20"/>
              </w:rPr>
            </w:pPr>
          </w:p>
          <w:p w14:paraId="0771C263" w14:textId="77777777" w:rsidR="00E94851" w:rsidRDefault="00E94851" w:rsidP="00E94851">
            <w:pPr>
              <w:rPr>
                <w:sz w:val="20"/>
                <w:szCs w:val="20"/>
              </w:rPr>
            </w:pPr>
          </w:p>
          <w:p w14:paraId="323AF68E" w14:textId="77777777" w:rsidR="00E94851" w:rsidRDefault="00E94851" w:rsidP="00E94851">
            <w:pPr>
              <w:rPr>
                <w:sz w:val="20"/>
                <w:szCs w:val="20"/>
              </w:rPr>
            </w:pPr>
          </w:p>
          <w:p w14:paraId="1B116DF8" w14:textId="77777777" w:rsidR="00E94851" w:rsidRPr="00E94851" w:rsidRDefault="00E94851" w:rsidP="00E94851">
            <w:pPr>
              <w:rPr>
                <w:sz w:val="20"/>
                <w:szCs w:val="20"/>
              </w:rPr>
            </w:pPr>
          </w:p>
          <w:p w14:paraId="3186B16E" w14:textId="77777777" w:rsidR="00C525A3" w:rsidRPr="00E94851" w:rsidRDefault="00C525A3" w:rsidP="0077757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94851">
              <w:rPr>
                <w:rFonts w:ascii="Times New Roman" w:hAnsi="Times New Roman" w:cs="Times New Roman"/>
                <w:sz w:val="20"/>
                <w:szCs w:val="20"/>
              </w:rPr>
              <w:t>Analgesic, opioid agonist</w:t>
            </w:r>
          </w:p>
          <w:p w14:paraId="1751976A" w14:textId="77777777" w:rsidR="00C525A3" w:rsidRPr="00E94851" w:rsidRDefault="00C525A3" w:rsidP="0071132E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A77CE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6842D973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679CF2C8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0B1AD2FA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1F1C7F03" w14:textId="77777777" w:rsidR="00C525A3" w:rsidRPr="00160055" w:rsidRDefault="00C525A3" w:rsidP="00160055">
            <w:pPr>
              <w:rPr>
                <w:sz w:val="20"/>
                <w:szCs w:val="20"/>
              </w:rPr>
            </w:pPr>
          </w:p>
          <w:p w14:paraId="66812F6E" w14:textId="77777777" w:rsidR="00C525A3" w:rsidRPr="00E94851" w:rsidRDefault="00C525A3" w:rsidP="0071132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05056C53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3C196C11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36539FB1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41222922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5690E367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14:paraId="0F70CF65" w14:textId="77777777" w:rsidR="00C525A3" w:rsidRPr="00E94851" w:rsidRDefault="00C525A3" w:rsidP="00C525A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4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Indicated for: abdominal surgery postop deep vein thrombosis prophylaxis; acute ST segment elevation MI; deep venous thrombosis</w:t>
            </w:r>
          </w:p>
          <w:p w14:paraId="75D11B86" w14:textId="77777777" w:rsidR="00C525A3" w:rsidRPr="00E94851" w:rsidRDefault="00C525A3" w:rsidP="0071132E">
            <w:pPr>
              <w:rPr>
                <w:sz w:val="20"/>
                <w:szCs w:val="20"/>
                <w:u w:val="single"/>
              </w:rPr>
            </w:pPr>
          </w:p>
          <w:p w14:paraId="7219C89B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6231D5EC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4DDA29E3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4585C46E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5A205068" w14:textId="77777777" w:rsidR="0077757E" w:rsidRPr="00E94851" w:rsidRDefault="0077757E" w:rsidP="0077757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4851">
              <w:rPr>
                <w:rFonts w:ascii="Times New Roman" w:hAnsi="Times New Roman" w:cs="Times New Roman"/>
                <w:sz w:val="20"/>
                <w:szCs w:val="20"/>
              </w:rPr>
              <w:t xml:space="preserve">Indicated for: </w:t>
            </w:r>
            <w:r w:rsidRPr="00E9485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Pr="00E94851">
              <w:rPr>
                <w:rFonts w:ascii="Times New Roman" w:hAnsi="Times New Roman" w:cs="Times New Roman"/>
                <w:sz w:val="20"/>
                <w:szCs w:val="20"/>
              </w:rPr>
              <w:t>Treatment of serious or severe infections caused by susceptible strains of methicillin-resistant (beta-lactam–resistant) staphylococci</w:t>
            </w:r>
            <w:proofErr w:type="gramStart"/>
            <w:r w:rsidRPr="00E9485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  <w:r w:rsidRPr="00E94851">
              <w:rPr>
                <w:rFonts w:ascii="Times New Roman" w:hAnsi="Times New Roman" w:cs="Times New Roman"/>
                <w:sz w:val="20"/>
                <w:szCs w:val="20"/>
              </w:rPr>
              <w:t xml:space="preserve"> treatment of staphylococcal, streptococcal, </w:t>
            </w:r>
            <w:proofErr w:type="spellStart"/>
            <w:r w:rsidRPr="00E94851">
              <w:rPr>
                <w:rFonts w:ascii="Times New Roman" w:hAnsi="Times New Roman" w:cs="Times New Roman"/>
                <w:sz w:val="20"/>
                <w:szCs w:val="20"/>
              </w:rPr>
              <w:t>enterococcal</w:t>
            </w:r>
            <w:proofErr w:type="spellEnd"/>
            <w:r w:rsidRPr="00E94851">
              <w:rPr>
                <w:rFonts w:ascii="Times New Roman" w:hAnsi="Times New Roman" w:cs="Times New Roman"/>
                <w:sz w:val="20"/>
                <w:szCs w:val="20"/>
              </w:rPr>
              <w:t xml:space="preserve">, or </w:t>
            </w:r>
            <w:proofErr w:type="spellStart"/>
            <w:r w:rsidRPr="00E94851">
              <w:rPr>
                <w:rFonts w:ascii="Times New Roman" w:hAnsi="Times New Roman" w:cs="Times New Roman"/>
                <w:sz w:val="20"/>
                <w:szCs w:val="20"/>
              </w:rPr>
              <w:t>diphtheroid</w:t>
            </w:r>
            <w:proofErr w:type="spellEnd"/>
            <w:r w:rsidRPr="00E94851">
              <w:rPr>
                <w:rFonts w:ascii="Times New Roman" w:hAnsi="Times New Roman" w:cs="Times New Roman"/>
                <w:sz w:val="20"/>
                <w:szCs w:val="20"/>
              </w:rPr>
              <w:t xml:space="preserve"> endocarditis.</w:t>
            </w:r>
          </w:p>
          <w:p w14:paraId="37CD7712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605DAF79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0521AF2B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7849C1E9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45833ACB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56735E2E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22F0DBC9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0D2C7607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7DB8B35F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31C632A2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1B9132B7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2C53635C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161781D6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1EDCB82D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14924A20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4B3274CE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69B7F21A" w14:textId="77777777" w:rsidR="0077757E" w:rsidRDefault="0077757E" w:rsidP="0071132E">
            <w:pPr>
              <w:rPr>
                <w:sz w:val="20"/>
                <w:szCs w:val="20"/>
              </w:rPr>
            </w:pPr>
          </w:p>
          <w:p w14:paraId="7082F171" w14:textId="77777777" w:rsidR="00BB139E" w:rsidRDefault="00BB139E" w:rsidP="0071132E">
            <w:pPr>
              <w:rPr>
                <w:sz w:val="20"/>
                <w:szCs w:val="20"/>
              </w:rPr>
            </w:pPr>
          </w:p>
          <w:p w14:paraId="6A75713D" w14:textId="77777777" w:rsidR="00BB139E" w:rsidRPr="00E94851" w:rsidRDefault="00BB139E" w:rsidP="0071132E">
            <w:pPr>
              <w:rPr>
                <w:sz w:val="20"/>
                <w:szCs w:val="20"/>
              </w:rPr>
            </w:pPr>
          </w:p>
          <w:p w14:paraId="50CFC588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095C450A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17AFB1EB" w14:textId="20AD008D" w:rsidR="0077757E" w:rsidRPr="00BB139E" w:rsidRDefault="0095714F" w:rsidP="00BB139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Indicated for</w:t>
            </w:r>
            <w:proofErr w:type="gramStart"/>
            <w:r>
              <w:rPr>
                <w:sz w:val="20"/>
                <w:szCs w:val="20"/>
              </w:rPr>
              <w:t xml:space="preserve">: </w:t>
            </w:r>
            <w:r>
              <w:t xml:space="preserve">  </w:t>
            </w:r>
            <w:r w:rsidRPr="0095714F">
              <w:rPr>
                <w:sz w:val="20"/>
                <w:szCs w:val="20"/>
              </w:rPr>
              <w:t>Treatment</w:t>
            </w:r>
            <w:proofErr w:type="gramEnd"/>
            <w:r w:rsidRPr="0095714F">
              <w:rPr>
                <w:sz w:val="20"/>
                <w:szCs w:val="20"/>
              </w:rPr>
              <w:t xml:space="preserve"> of infections caused by susceptible strains of specific microorganisms in the following conditions caused by β-lactamase–producing organisms: bacterial septicemia; acute and chronic infections of the lower respiratory tract, skin and skin structures, bone and joint, endometrium, urinary tract; and peritonitis.</w:t>
            </w:r>
          </w:p>
          <w:p w14:paraId="4A493D3E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7A4FBD40" w14:textId="77777777" w:rsidR="00C525A3" w:rsidRDefault="00C525A3" w:rsidP="0071132E">
            <w:pPr>
              <w:rPr>
                <w:sz w:val="20"/>
                <w:szCs w:val="20"/>
              </w:rPr>
            </w:pPr>
          </w:p>
          <w:p w14:paraId="057F69F0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040FDDC1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6FBAE61D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701ADECB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51E2001D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662B47CD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256E7990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1A3A46FB" w14:textId="77777777" w:rsidR="00160055" w:rsidRPr="00E94851" w:rsidRDefault="00160055" w:rsidP="0071132E">
            <w:pPr>
              <w:rPr>
                <w:sz w:val="20"/>
                <w:szCs w:val="20"/>
              </w:rPr>
            </w:pPr>
          </w:p>
          <w:p w14:paraId="601C4685" w14:textId="77777777" w:rsidR="00C525A3" w:rsidRPr="00E94851" w:rsidRDefault="00C525A3" w:rsidP="0077757E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851">
              <w:rPr>
                <w:rFonts w:ascii="Times New Roman" w:hAnsi="Times New Roman" w:cs="Times New Roman"/>
                <w:sz w:val="20"/>
                <w:szCs w:val="20"/>
              </w:rPr>
              <w:t xml:space="preserve">Indicated for: </w:t>
            </w:r>
            <w:r w:rsidRPr="00E9485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Zofran is used to prevent nausea and vomiting that may be caused by surgery or by medicine to treat cancer </w:t>
            </w:r>
          </w:p>
          <w:p w14:paraId="37CA4957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666C4D18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63D67E4A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36B7BE4A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420BFBD1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60C86015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021AF9B2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5FE9E300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2AB65FD4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318716EB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2686F31D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22296CCA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2A3F3F46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576B3B9E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47DAF869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3678B015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4F07EA99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7DBFC8AB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41824733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3DF24BC4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135168AF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7E2FD95E" w14:textId="77777777" w:rsidR="0071132E" w:rsidRPr="00E94851" w:rsidRDefault="0071132E" w:rsidP="0071132E">
            <w:pPr>
              <w:rPr>
                <w:sz w:val="20"/>
                <w:szCs w:val="20"/>
              </w:rPr>
            </w:pPr>
          </w:p>
          <w:p w14:paraId="0CB2D4CD" w14:textId="77777777" w:rsidR="0071132E" w:rsidRPr="00E94851" w:rsidRDefault="0071132E" w:rsidP="0071132E">
            <w:pPr>
              <w:rPr>
                <w:sz w:val="20"/>
                <w:szCs w:val="20"/>
              </w:rPr>
            </w:pPr>
          </w:p>
          <w:p w14:paraId="3529CA2E" w14:textId="0BC822F6" w:rsidR="00C525A3" w:rsidRPr="00E94851" w:rsidRDefault="0071132E" w:rsidP="0071132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4851">
              <w:rPr>
                <w:rFonts w:ascii="Times New Roman" w:hAnsi="Times New Roman" w:cs="Times New Roman"/>
                <w:sz w:val="20"/>
                <w:szCs w:val="20"/>
              </w:rPr>
              <w:t xml:space="preserve">Indicated for: motion sickness, nonproductive cough, sedation, rhinitis, allergy symptoms, nausea and vomiting. </w:t>
            </w:r>
          </w:p>
          <w:p w14:paraId="2D81F240" w14:textId="77777777" w:rsidR="00C525A3" w:rsidRDefault="00C525A3" w:rsidP="0071132E">
            <w:pPr>
              <w:rPr>
                <w:sz w:val="20"/>
                <w:szCs w:val="20"/>
              </w:rPr>
            </w:pPr>
          </w:p>
          <w:p w14:paraId="48C0F692" w14:textId="77777777" w:rsidR="00E94851" w:rsidRDefault="00E94851" w:rsidP="0071132E">
            <w:pPr>
              <w:rPr>
                <w:sz w:val="20"/>
                <w:szCs w:val="20"/>
              </w:rPr>
            </w:pPr>
          </w:p>
          <w:p w14:paraId="2DC01116" w14:textId="77777777" w:rsidR="00E94851" w:rsidRDefault="00E94851" w:rsidP="0071132E">
            <w:pPr>
              <w:rPr>
                <w:sz w:val="20"/>
                <w:szCs w:val="20"/>
              </w:rPr>
            </w:pPr>
          </w:p>
          <w:p w14:paraId="3C5C4EDC" w14:textId="77777777" w:rsidR="00E94851" w:rsidRDefault="00E94851" w:rsidP="0071132E">
            <w:pPr>
              <w:rPr>
                <w:sz w:val="20"/>
                <w:szCs w:val="20"/>
              </w:rPr>
            </w:pPr>
          </w:p>
          <w:p w14:paraId="3C4A2DE8" w14:textId="77777777" w:rsidR="00E94851" w:rsidRDefault="00E94851" w:rsidP="0071132E">
            <w:pPr>
              <w:rPr>
                <w:sz w:val="20"/>
                <w:szCs w:val="20"/>
              </w:rPr>
            </w:pPr>
          </w:p>
          <w:p w14:paraId="04CFEAE9" w14:textId="77777777" w:rsidR="00E94851" w:rsidRDefault="00E94851" w:rsidP="0071132E">
            <w:pPr>
              <w:rPr>
                <w:sz w:val="20"/>
                <w:szCs w:val="20"/>
              </w:rPr>
            </w:pPr>
          </w:p>
          <w:p w14:paraId="3773A704" w14:textId="77777777" w:rsidR="00E94851" w:rsidRDefault="00E94851" w:rsidP="0071132E">
            <w:pPr>
              <w:rPr>
                <w:sz w:val="20"/>
                <w:szCs w:val="20"/>
              </w:rPr>
            </w:pPr>
          </w:p>
          <w:p w14:paraId="1959A394" w14:textId="77777777" w:rsidR="00E94851" w:rsidRDefault="00E94851" w:rsidP="0071132E">
            <w:pPr>
              <w:rPr>
                <w:sz w:val="20"/>
                <w:szCs w:val="20"/>
              </w:rPr>
            </w:pPr>
          </w:p>
          <w:p w14:paraId="1EE52D73" w14:textId="77777777" w:rsidR="00E94851" w:rsidRPr="00E94851" w:rsidRDefault="00E94851" w:rsidP="0071132E">
            <w:pPr>
              <w:rPr>
                <w:sz w:val="20"/>
                <w:szCs w:val="20"/>
              </w:rPr>
            </w:pPr>
          </w:p>
          <w:p w14:paraId="6D374608" w14:textId="77777777" w:rsidR="00C525A3" w:rsidRPr="00E94851" w:rsidRDefault="00C525A3" w:rsidP="0077757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94851">
              <w:rPr>
                <w:rFonts w:ascii="Times New Roman" w:hAnsi="Times New Roman" w:cs="Times New Roman"/>
                <w:sz w:val="20"/>
                <w:szCs w:val="20"/>
              </w:rPr>
              <w:t>Indicated for: pain, chronic; pain, moderate to severe and not responsive to non-narcotic analgesics</w:t>
            </w:r>
          </w:p>
          <w:p w14:paraId="7C86975D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14:paraId="5269D1BB" w14:textId="77777777" w:rsidR="00C525A3" w:rsidRPr="00E94851" w:rsidRDefault="00C525A3" w:rsidP="00C525A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4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Adverse reactions: may cause edema, diarrhea, nausea, hematoma, confusion, pain, etc.  </w:t>
            </w:r>
          </w:p>
          <w:p w14:paraId="409FD205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4E48D08C" w14:textId="77777777" w:rsidR="00C525A3" w:rsidRPr="00E94851" w:rsidRDefault="00C525A3" w:rsidP="007113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16865C45" w14:textId="77777777" w:rsidR="00C525A3" w:rsidRPr="00E94851" w:rsidRDefault="00C525A3" w:rsidP="007113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3B8E72CC" w14:textId="77777777" w:rsidR="00C525A3" w:rsidRPr="00E94851" w:rsidRDefault="00C525A3" w:rsidP="007113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62D6CAA2" w14:textId="77777777" w:rsidR="00C525A3" w:rsidRPr="00E94851" w:rsidRDefault="00C525A3" w:rsidP="007113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7322DE63" w14:textId="77777777" w:rsidR="0077757E" w:rsidRPr="00E94851" w:rsidRDefault="0077757E" w:rsidP="0077757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4851">
              <w:rPr>
                <w:rFonts w:ascii="Times New Roman" w:hAnsi="Times New Roman" w:cs="Times New Roman"/>
                <w:sz w:val="20"/>
                <w:szCs w:val="20"/>
              </w:rPr>
              <w:t xml:space="preserve">Adverse effects: hypotension, headache, hearing loss, Drug rash with eosinophilia and systemic symptoms, </w:t>
            </w:r>
            <w:proofErr w:type="spellStart"/>
            <w:r w:rsidRPr="00E94851">
              <w:rPr>
                <w:rFonts w:ascii="Times New Roman" w:hAnsi="Times New Roman" w:cs="Times New Roman"/>
                <w:sz w:val="20"/>
                <w:szCs w:val="20"/>
              </w:rPr>
              <w:t>exfoliative</w:t>
            </w:r>
            <w:proofErr w:type="spellEnd"/>
            <w:r w:rsidRPr="00E94851">
              <w:rPr>
                <w:rFonts w:ascii="Times New Roman" w:hAnsi="Times New Roman" w:cs="Times New Roman"/>
                <w:sz w:val="20"/>
                <w:szCs w:val="20"/>
              </w:rPr>
              <w:t xml:space="preserve"> dermatitis, pruritus, rash, Stevens-Johnson syndrome, TEN, </w:t>
            </w:r>
            <w:proofErr w:type="spellStart"/>
            <w:r w:rsidRPr="00E94851">
              <w:rPr>
                <w:rFonts w:ascii="Times New Roman" w:hAnsi="Times New Roman" w:cs="Times New Roman"/>
                <w:sz w:val="20"/>
                <w:szCs w:val="20"/>
              </w:rPr>
              <w:t>urticaria</w:t>
            </w:r>
            <w:proofErr w:type="spellEnd"/>
            <w:r w:rsidRPr="00E948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4851">
              <w:rPr>
                <w:rFonts w:ascii="Times New Roman" w:hAnsi="Times New Roman" w:cs="Times New Roman"/>
                <w:sz w:val="20"/>
                <w:szCs w:val="20"/>
              </w:rPr>
              <w:t>vasculitis</w:t>
            </w:r>
            <w:proofErr w:type="spellEnd"/>
            <w:r w:rsidRPr="00E948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94851">
              <w:rPr>
                <w:rFonts w:ascii="Times New Roman" w:hAnsi="Times New Roman" w:cs="Times New Roman"/>
                <w:sz w:val="20"/>
                <w:szCs w:val="20"/>
              </w:rPr>
              <w:t>postmarketing</w:t>
            </w:r>
            <w:proofErr w:type="spellEnd"/>
            <w:r w:rsidRPr="00E94851">
              <w:rPr>
                <w:rFonts w:ascii="Times New Roman" w:hAnsi="Times New Roman" w:cs="Times New Roman"/>
                <w:sz w:val="20"/>
                <w:szCs w:val="20"/>
              </w:rPr>
              <w:t>), nausea, abdominal pain.</w:t>
            </w:r>
          </w:p>
          <w:p w14:paraId="6528907A" w14:textId="77777777" w:rsidR="00C525A3" w:rsidRPr="00E94851" w:rsidRDefault="00C525A3" w:rsidP="007113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603B7A2D" w14:textId="77777777" w:rsidR="00C525A3" w:rsidRPr="00E94851" w:rsidRDefault="00C525A3" w:rsidP="007113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64CAF2BA" w14:textId="77777777" w:rsidR="00C525A3" w:rsidRPr="00E94851" w:rsidRDefault="00C525A3" w:rsidP="007113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58CEB65D" w14:textId="77777777" w:rsidR="00C525A3" w:rsidRPr="00E94851" w:rsidRDefault="00C525A3" w:rsidP="007113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0D37041A" w14:textId="77777777" w:rsidR="00C525A3" w:rsidRPr="00E94851" w:rsidRDefault="00C525A3" w:rsidP="007113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7509AE77" w14:textId="77777777" w:rsidR="0077757E" w:rsidRPr="00E94851" w:rsidRDefault="0077757E" w:rsidP="007113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0F770C69" w14:textId="77777777" w:rsidR="0077757E" w:rsidRPr="00E94851" w:rsidRDefault="0077757E" w:rsidP="007113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6523D150" w14:textId="77777777" w:rsidR="0077757E" w:rsidRPr="00E94851" w:rsidRDefault="0077757E" w:rsidP="007113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2A21DA9B" w14:textId="77777777" w:rsidR="0077757E" w:rsidRPr="00E94851" w:rsidRDefault="0077757E" w:rsidP="007113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6FCC3F67" w14:textId="77777777" w:rsidR="0077757E" w:rsidRPr="00E94851" w:rsidRDefault="0077757E" w:rsidP="007113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09A93D1F" w14:textId="77777777" w:rsidR="0077757E" w:rsidRPr="00E94851" w:rsidRDefault="0077757E" w:rsidP="007113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3C9A748D" w14:textId="0C761819" w:rsidR="0077757E" w:rsidRPr="00E94851" w:rsidRDefault="0077757E" w:rsidP="007113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94851">
              <w:rPr>
                <w:rFonts w:ascii="Times New Roman" w:hAnsi="Times New Roman"/>
              </w:rPr>
              <w:br/>
            </w:r>
          </w:p>
          <w:p w14:paraId="23763858" w14:textId="77777777" w:rsidR="0077757E" w:rsidRDefault="0077757E" w:rsidP="007113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1705CD06" w14:textId="77777777" w:rsidR="00BB139E" w:rsidRDefault="00BB139E" w:rsidP="007113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54972E87" w14:textId="3CC5BE37" w:rsidR="00BB139E" w:rsidRPr="00E94851" w:rsidRDefault="0095714F" w:rsidP="00BB139E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Adverse reactions: </w:t>
            </w:r>
            <w:r w:rsidR="00660705">
              <w:t xml:space="preserve"> </w:t>
            </w:r>
            <w:r w:rsidR="00660705" w:rsidRPr="00660705">
              <w:rPr>
                <w:rFonts w:ascii="Times New Roman" w:hAnsi="Times New Roman"/>
              </w:rPr>
              <w:t>Report promptly: fever, rash, sore throat, unusual bl</w:t>
            </w:r>
            <w:r w:rsidR="00660705">
              <w:rPr>
                <w:rFonts w:ascii="Times New Roman" w:hAnsi="Times New Roman"/>
              </w:rPr>
              <w:t xml:space="preserve">eeding or bruising, seizures. </w:t>
            </w:r>
            <w:r w:rsidR="00660705" w:rsidRPr="00660705">
              <w:rPr>
                <w:rFonts w:ascii="Times New Roman" w:hAnsi="Times New Roman"/>
              </w:rPr>
              <w:t>Promptly report diarrhea or bloody stools that occur during treatment or up to several months after an antibiotic has been discontinued; may indicate CDAD and require treatment. ▪ May require alternate birth control.</w:t>
            </w:r>
          </w:p>
          <w:p w14:paraId="4ABB8A26" w14:textId="77777777" w:rsidR="0077757E" w:rsidRPr="00E94851" w:rsidRDefault="0077757E" w:rsidP="007113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5FD6B7F3" w14:textId="77777777" w:rsidR="00C525A3" w:rsidRPr="00E94851" w:rsidRDefault="00C525A3" w:rsidP="0077757E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94851">
              <w:rPr>
                <w:rFonts w:ascii="Times New Roman" w:hAnsi="Times New Roman"/>
              </w:rPr>
              <w:t xml:space="preserve">Adverse effects: </w:t>
            </w:r>
            <w:r w:rsidRPr="00E94851">
              <w:rPr>
                <w:rFonts w:ascii="Times New Roman" w:eastAsia="Times New Roman" w:hAnsi="Times New Roman"/>
                <w:shd w:val="clear" w:color="auto" w:fill="FFFFFF"/>
              </w:rPr>
              <w:t xml:space="preserve">blurred vision or temporary vision loss (lasting from only a few minutes to several hours), slow heart rate, trouble breathing, anxiety, </w:t>
            </w:r>
            <w:r w:rsidRPr="00E94851">
              <w:rPr>
                <w:rFonts w:ascii="Times New Roman" w:eastAsia="Times New Roman" w:hAnsi="Times New Roman"/>
                <w:shd w:val="clear" w:color="auto" w:fill="FFFFFF"/>
              </w:rPr>
              <w:lastRenderedPageBreak/>
              <w:t xml:space="preserve">agitation, shivering, feeling like you might pass out, and urinating less than usual or not at all, </w:t>
            </w:r>
            <w:r w:rsidRPr="00E94851">
              <w:rPr>
                <w:rFonts w:ascii="Times New Roman" w:hAnsi="Times New Roman"/>
              </w:rPr>
              <w:t>diarrhea or constipation; weakness or tired feeling; fever;</w:t>
            </w:r>
          </w:p>
          <w:p w14:paraId="4B5BCEC7" w14:textId="77777777" w:rsidR="00C525A3" w:rsidRPr="00E94851" w:rsidRDefault="00C525A3" w:rsidP="0071132E">
            <w:pPr>
              <w:pStyle w:val="NormalWeb"/>
              <w:shd w:val="clear" w:color="auto" w:fill="FFFFFF"/>
              <w:spacing w:before="0" w:beforeAutospacing="0" w:after="0" w:afterAutospacing="0"/>
              <w:ind w:left="384"/>
              <w:rPr>
                <w:rFonts w:ascii="Times New Roman" w:hAnsi="Times New Roman"/>
              </w:rPr>
            </w:pPr>
            <w:proofErr w:type="gramStart"/>
            <w:r w:rsidRPr="00E94851">
              <w:rPr>
                <w:rFonts w:ascii="Times New Roman" w:hAnsi="Times New Roman"/>
              </w:rPr>
              <w:t>headache</w:t>
            </w:r>
            <w:proofErr w:type="gramEnd"/>
            <w:r w:rsidRPr="00E94851">
              <w:rPr>
                <w:rFonts w:ascii="Times New Roman" w:hAnsi="Times New Roman"/>
              </w:rPr>
              <w:t>; or</w:t>
            </w:r>
          </w:p>
          <w:p w14:paraId="1C18788B" w14:textId="77777777" w:rsidR="00C525A3" w:rsidRPr="00E94851" w:rsidRDefault="00C525A3" w:rsidP="0071132E">
            <w:pPr>
              <w:pStyle w:val="NormalWeb"/>
              <w:shd w:val="clear" w:color="auto" w:fill="FFFFFF"/>
              <w:spacing w:before="0" w:beforeAutospacing="0" w:after="0" w:afterAutospacing="0"/>
              <w:ind w:left="384"/>
              <w:rPr>
                <w:rFonts w:ascii="Times New Roman" w:hAnsi="Times New Roman"/>
              </w:rPr>
            </w:pPr>
            <w:proofErr w:type="gramStart"/>
            <w:r w:rsidRPr="00E94851">
              <w:rPr>
                <w:rFonts w:ascii="Times New Roman" w:hAnsi="Times New Roman"/>
              </w:rPr>
              <w:t>dizziness</w:t>
            </w:r>
            <w:proofErr w:type="gramEnd"/>
            <w:r w:rsidRPr="00E94851">
              <w:rPr>
                <w:rFonts w:ascii="Times New Roman" w:hAnsi="Times New Roman"/>
              </w:rPr>
              <w:t>, drowsiness.</w:t>
            </w:r>
          </w:p>
          <w:p w14:paraId="71D53493" w14:textId="77777777" w:rsidR="00C525A3" w:rsidRPr="00E94851" w:rsidRDefault="00C525A3" w:rsidP="0071132E">
            <w:pPr>
              <w:rPr>
                <w:sz w:val="20"/>
                <w:szCs w:val="20"/>
                <w:u w:val="single"/>
              </w:rPr>
            </w:pPr>
          </w:p>
          <w:p w14:paraId="4B59A2A2" w14:textId="3133117D" w:rsidR="00E94851" w:rsidRDefault="0071132E" w:rsidP="0071132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4851">
              <w:rPr>
                <w:rFonts w:ascii="Times New Roman" w:hAnsi="Times New Roman" w:cs="Times New Roman"/>
                <w:sz w:val="20"/>
                <w:szCs w:val="20"/>
              </w:rPr>
              <w:t>Adverse effects: central nervous: dizziness, drowsiness, confusion; ears, eyes, nose, and throat: blurred vision, dilated pupils, dry mouth; genitourinary: urinary retention</w:t>
            </w:r>
          </w:p>
          <w:p w14:paraId="0F32B943" w14:textId="77777777" w:rsidR="00E94851" w:rsidRPr="00E94851" w:rsidRDefault="00E94851" w:rsidP="00E94851">
            <w:pPr>
              <w:rPr>
                <w:sz w:val="20"/>
                <w:szCs w:val="20"/>
              </w:rPr>
            </w:pPr>
          </w:p>
          <w:p w14:paraId="1B4EE191" w14:textId="77777777" w:rsidR="00C525A3" w:rsidRPr="00E94851" w:rsidRDefault="00C525A3" w:rsidP="0077757E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94851">
              <w:rPr>
                <w:rFonts w:ascii="Times New Roman" w:hAnsi="Times New Roman"/>
              </w:rPr>
              <w:t xml:space="preserve">Adverse effects: decreased blood pressure, respiratory depression, urinary retention, </w:t>
            </w:r>
            <w:proofErr w:type="gramStart"/>
            <w:r w:rsidRPr="00E94851">
              <w:rPr>
                <w:rFonts w:ascii="Times New Roman" w:hAnsi="Times New Roman"/>
              </w:rPr>
              <w:t>constipation</w:t>
            </w:r>
            <w:proofErr w:type="gramEnd"/>
            <w:r w:rsidRPr="00E94851">
              <w:rPr>
                <w:rFonts w:ascii="Times New Roman" w:hAnsi="Times New Roman"/>
              </w:rPr>
              <w:t>.</w:t>
            </w:r>
          </w:p>
          <w:p w14:paraId="3C303C63" w14:textId="77777777" w:rsidR="00C525A3" w:rsidRPr="00E94851" w:rsidRDefault="00C525A3" w:rsidP="0071132E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896B19" w14:textId="77777777" w:rsidR="00C525A3" w:rsidRPr="00E94851" w:rsidRDefault="00C525A3" w:rsidP="007113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2604" w:type="dxa"/>
          </w:tcPr>
          <w:p w14:paraId="2FDE5C59" w14:textId="77777777" w:rsidR="00C525A3" w:rsidRPr="00E94851" w:rsidRDefault="00C525A3" w:rsidP="00C525A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4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Teaching: report s/s of bleeding, pulmonary edema, skin necrosis, atrial fib.  Patients should lie down during injection.  Avoid concurrent anticoagulants.  (</w:t>
            </w:r>
            <w:proofErr w:type="gramStart"/>
            <w:r w:rsidRPr="00E94851">
              <w:rPr>
                <w:rFonts w:ascii="Times New Roman" w:hAnsi="Times New Roman" w:cs="Times New Roman"/>
                <w:sz w:val="20"/>
                <w:szCs w:val="20"/>
              </w:rPr>
              <w:t>including</w:t>
            </w:r>
            <w:proofErr w:type="gramEnd"/>
            <w:r w:rsidRPr="00E94851">
              <w:rPr>
                <w:rFonts w:ascii="Times New Roman" w:hAnsi="Times New Roman" w:cs="Times New Roman"/>
                <w:sz w:val="20"/>
                <w:szCs w:val="20"/>
              </w:rPr>
              <w:t xml:space="preserve"> NSAIDS and ASPIRIN) without healthcare professional approval.</w:t>
            </w:r>
          </w:p>
          <w:p w14:paraId="71D98EB9" w14:textId="77777777" w:rsidR="00C525A3" w:rsidRPr="00E94851" w:rsidRDefault="00C525A3" w:rsidP="00C525A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6A2328E6" w14:textId="77777777" w:rsidR="0077757E" w:rsidRPr="00E94851" w:rsidRDefault="0077757E" w:rsidP="0077757E">
            <w:pPr>
              <w:pStyle w:val="ListParagraph"/>
              <w:numPr>
                <w:ilvl w:val="0"/>
                <w:numId w:val="12"/>
              </w:numPr>
              <w:ind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E94851">
              <w:rPr>
                <w:rFonts w:ascii="Times New Roman" w:hAnsi="Times New Roman" w:cs="Times New Roman"/>
                <w:sz w:val="20"/>
                <w:szCs w:val="20"/>
              </w:rPr>
              <w:t xml:space="preserve">Perform serial monitoring of renal function. Monitor auditory function. Monitor leukocyte count in patients who are on prolonged therapy or who are receiving concomitant drugs that may cause neutropenia. Monitor </w:t>
            </w:r>
            <w:proofErr w:type="spellStart"/>
            <w:r w:rsidRPr="00E94851">
              <w:rPr>
                <w:rFonts w:ascii="Times New Roman" w:hAnsi="Times New Roman" w:cs="Times New Roman"/>
                <w:sz w:val="20"/>
                <w:szCs w:val="20"/>
              </w:rPr>
              <w:t>vancomycin</w:t>
            </w:r>
            <w:proofErr w:type="spellEnd"/>
            <w:r w:rsidRPr="00E94851">
              <w:rPr>
                <w:rFonts w:ascii="Times New Roman" w:hAnsi="Times New Roman" w:cs="Times New Roman"/>
                <w:sz w:val="20"/>
                <w:szCs w:val="20"/>
              </w:rPr>
              <w:t xml:space="preserve"> trough concentrations prior to next dose at steady-state concentrations (approximately after the fourth dose) and maintain above 10 mg/L. Ensure that minimum </w:t>
            </w:r>
            <w:r w:rsidRPr="00E94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trough concentrations are higher (at least 15 to 20 mg/L) in patients with complicated infections.</w:t>
            </w:r>
          </w:p>
          <w:p w14:paraId="6E14663E" w14:textId="77777777" w:rsidR="00C525A3" w:rsidRDefault="00C525A3" w:rsidP="0077757E">
            <w:pPr>
              <w:pStyle w:val="ListParagraph"/>
              <w:shd w:val="clear" w:color="auto" w:fill="FFFFFF"/>
              <w:ind w:left="360" w:right="5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06450" w14:textId="265FFDCB" w:rsidR="00BB139E" w:rsidRDefault="0095714F" w:rsidP="00BB139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right="5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Nsg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implications: </w:t>
            </w:r>
            <w:r w:rsidR="00660705">
              <w:t xml:space="preserve"> </w:t>
            </w:r>
            <w:r w:rsidR="00660705" w:rsidRPr="00660705">
              <w:rPr>
                <w:rFonts w:ascii="Times New Roman" w:hAnsi="Times New Roman" w:cs="Times New Roman"/>
                <w:sz w:val="20"/>
                <w:szCs w:val="20"/>
              </w:rPr>
              <w:t>Periodic evaluation of renal, hepatic, and hematopoietic systems and serum potassium is recommended in prolonged therapy. Observe for electrolyte imbalance and cardiac irregularities. Observe for hypokalemia.</w:t>
            </w:r>
          </w:p>
          <w:p w14:paraId="02E51720" w14:textId="77777777" w:rsidR="00BB139E" w:rsidRDefault="00BB139E" w:rsidP="0077757E">
            <w:pPr>
              <w:pStyle w:val="ListParagraph"/>
              <w:shd w:val="clear" w:color="auto" w:fill="FFFFFF"/>
              <w:ind w:left="360" w:right="5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1D177" w14:textId="77777777" w:rsidR="00160055" w:rsidRDefault="00160055" w:rsidP="0077757E">
            <w:pPr>
              <w:pStyle w:val="ListParagraph"/>
              <w:shd w:val="clear" w:color="auto" w:fill="FFFFFF"/>
              <w:ind w:left="360" w:right="5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8DAA9B" w14:textId="77777777" w:rsidR="00160055" w:rsidRDefault="00160055" w:rsidP="0077757E">
            <w:pPr>
              <w:pStyle w:val="ListParagraph"/>
              <w:shd w:val="clear" w:color="auto" w:fill="FFFFFF"/>
              <w:ind w:left="360" w:right="5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6D720" w14:textId="77777777" w:rsidR="00160055" w:rsidRDefault="00160055" w:rsidP="0077757E">
            <w:pPr>
              <w:pStyle w:val="ListParagraph"/>
              <w:shd w:val="clear" w:color="auto" w:fill="FFFFFF"/>
              <w:ind w:left="360" w:right="5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79FCB" w14:textId="77777777" w:rsidR="00160055" w:rsidRDefault="00160055" w:rsidP="0077757E">
            <w:pPr>
              <w:pStyle w:val="ListParagraph"/>
              <w:shd w:val="clear" w:color="auto" w:fill="FFFFFF"/>
              <w:ind w:left="360" w:right="5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A1F49" w14:textId="77777777" w:rsidR="00160055" w:rsidRDefault="00160055" w:rsidP="0077757E">
            <w:pPr>
              <w:pStyle w:val="ListParagraph"/>
              <w:shd w:val="clear" w:color="auto" w:fill="FFFFFF"/>
              <w:ind w:left="360" w:right="5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F2D20" w14:textId="77777777" w:rsidR="00160055" w:rsidRDefault="00160055" w:rsidP="0077757E">
            <w:pPr>
              <w:pStyle w:val="ListParagraph"/>
              <w:shd w:val="clear" w:color="auto" w:fill="FFFFFF"/>
              <w:ind w:left="360" w:right="5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31D56" w14:textId="77777777" w:rsidR="00160055" w:rsidRDefault="00160055" w:rsidP="0077757E">
            <w:pPr>
              <w:pStyle w:val="ListParagraph"/>
              <w:shd w:val="clear" w:color="auto" w:fill="FFFFFF"/>
              <w:ind w:left="360" w:right="5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1937B1" w14:textId="77777777" w:rsidR="00160055" w:rsidRDefault="00160055" w:rsidP="0077757E">
            <w:pPr>
              <w:pStyle w:val="ListParagraph"/>
              <w:shd w:val="clear" w:color="auto" w:fill="FFFFFF"/>
              <w:ind w:left="360" w:right="5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A7E22" w14:textId="77777777" w:rsidR="00160055" w:rsidRPr="00E94851" w:rsidRDefault="00160055" w:rsidP="0077757E">
            <w:pPr>
              <w:pStyle w:val="ListParagraph"/>
              <w:shd w:val="clear" w:color="auto" w:fill="FFFFFF"/>
              <w:ind w:left="360" w:right="5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76401" w14:textId="77777777" w:rsidR="0077757E" w:rsidRPr="00E94851" w:rsidRDefault="0077757E" w:rsidP="0077757E">
            <w:pPr>
              <w:shd w:val="clear" w:color="auto" w:fill="FFFFFF"/>
              <w:ind w:right="576"/>
              <w:rPr>
                <w:sz w:val="20"/>
                <w:szCs w:val="20"/>
              </w:rPr>
            </w:pPr>
          </w:p>
          <w:p w14:paraId="1FA33DC1" w14:textId="77777777" w:rsidR="00C525A3" w:rsidRPr="00E94851" w:rsidRDefault="00C525A3" w:rsidP="0077757E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  <w:proofErr w:type="spellStart"/>
            <w:r w:rsidRPr="00E94851">
              <w:rPr>
                <w:rFonts w:ascii="Times New Roman" w:hAnsi="Times New Roman"/>
              </w:rPr>
              <w:t>Nsg</w:t>
            </w:r>
            <w:proofErr w:type="spellEnd"/>
            <w:r w:rsidRPr="00E94851">
              <w:rPr>
                <w:rFonts w:ascii="Times New Roman" w:hAnsi="Times New Roman"/>
              </w:rPr>
              <w:t xml:space="preserve"> implications: teach patients that this medication causes drowsiness, so do not do anything that requires you to be mentally alert while taking this drug; never drink alcohol while taking this drug. </w:t>
            </w:r>
          </w:p>
          <w:p w14:paraId="5484D7E0" w14:textId="77777777" w:rsidR="00C525A3" w:rsidRPr="00E94851" w:rsidRDefault="00C525A3" w:rsidP="007113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075A8026" w14:textId="77777777" w:rsidR="00C525A3" w:rsidRPr="00E94851" w:rsidRDefault="00C525A3" w:rsidP="007113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35F2E821" w14:textId="77777777" w:rsidR="00C525A3" w:rsidRPr="00E94851" w:rsidRDefault="00C525A3" w:rsidP="007113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42C007EA" w14:textId="77777777" w:rsidR="00C525A3" w:rsidRPr="00E94851" w:rsidRDefault="00C525A3" w:rsidP="007113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5BFC7240" w14:textId="77777777" w:rsidR="00C525A3" w:rsidRPr="00E94851" w:rsidRDefault="00C525A3" w:rsidP="007113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7EB7DDB5" w14:textId="77777777" w:rsidR="00C525A3" w:rsidRPr="00E94851" w:rsidRDefault="00C525A3" w:rsidP="007113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6EC16E80" w14:textId="77777777" w:rsidR="00C525A3" w:rsidRPr="00E94851" w:rsidRDefault="00C525A3" w:rsidP="007113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0DB9072F" w14:textId="77777777" w:rsidR="00C525A3" w:rsidRPr="00E94851" w:rsidRDefault="00C525A3" w:rsidP="007113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0E555218" w14:textId="77777777" w:rsidR="00C525A3" w:rsidRPr="00E94851" w:rsidRDefault="00C525A3" w:rsidP="007113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7A3B2926" w14:textId="77777777" w:rsidR="00C525A3" w:rsidRPr="00E94851" w:rsidRDefault="00C525A3" w:rsidP="007113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4AA68D1E" w14:textId="77777777" w:rsidR="00C525A3" w:rsidRPr="00E94851" w:rsidRDefault="00C525A3" w:rsidP="007113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72808A8B" w14:textId="77777777" w:rsidR="00C525A3" w:rsidRPr="00E94851" w:rsidRDefault="00C525A3" w:rsidP="007113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484FDDBF" w14:textId="77777777" w:rsidR="00C525A3" w:rsidRPr="00E94851" w:rsidRDefault="00C525A3" w:rsidP="007113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3AFACDEA" w14:textId="77777777" w:rsidR="00C525A3" w:rsidRPr="00E94851" w:rsidRDefault="00C525A3" w:rsidP="007113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42BA6891" w14:textId="77777777" w:rsidR="00C525A3" w:rsidRPr="00E94851" w:rsidRDefault="00C525A3" w:rsidP="007113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044A655C" w14:textId="77777777" w:rsidR="00C525A3" w:rsidRPr="00E94851" w:rsidRDefault="00C525A3" w:rsidP="007113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351F365E" w14:textId="77777777" w:rsidR="00C525A3" w:rsidRPr="00E94851" w:rsidRDefault="00C525A3" w:rsidP="007113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0975739E" w14:textId="77777777" w:rsidR="00C525A3" w:rsidRPr="00E94851" w:rsidRDefault="00C525A3" w:rsidP="007113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0C8AAB1C" w14:textId="77777777" w:rsidR="0071132E" w:rsidRPr="00E94851" w:rsidRDefault="0071132E" w:rsidP="007113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3ED30F83" w14:textId="77777777" w:rsidR="0071132E" w:rsidRPr="00E94851" w:rsidRDefault="0071132E" w:rsidP="007113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79E1221A" w14:textId="6788B39A" w:rsidR="00C525A3" w:rsidRPr="00E94851" w:rsidRDefault="00E94851" w:rsidP="0071132E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  <w:proofErr w:type="spellStart"/>
            <w:r w:rsidRPr="00E94851">
              <w:rPr>
                <w:rFonts w:ascii="Times New Roman" w:hAnsi="Times New Roman"/>
              </w:rPr>
              <w:t>Nsg</w:t>
            </w:r>
            <w:proofErr w:type="spellEnd"/>
            <w:r w:rsidRPr="00E94851">
              <w:rPr>
                <w:rFonts w:ascii="Times New Roman" w:hAnsi="Times New Roman"/>
              </w:rPr>
              <w:t xml:space="preserve"> implications</w:t>
            </w:r>
            <w:r w:rsidR="0071132E" w:rsidRPr="00E94851">
              <w:rPr>
                <w:rFonts w:ascii="Times New Roman" w:hAnsi="Times New Roman"/>
              </w:rPr>
              <w:t xml:space="preserve">: </w:t>
            </w:r>
            <w:r w:rsidR="00206FAD" w:rsidRPr="00E94851">
              <w:rPr>
                <w:rFonts w:ascii="Times New Roman" w:hAnsi="Times New Roman"/>
              </w:rPr>
              <w:t xml:space="preserve">should be used cautiously in pediatric patients, who may have severe paradoxical reactions, and in the elderly, who often develop agitation, mental confusion, hypotension, and even psychotic-type reactions in response to these drugs. </w:t>
            </w:r>
          </w:p>
          <w:p w14:paraId="4CE63801" w14:textId="77777777" w:rsidR="00C525A3" w:rsidRDefault="00C525A3" w:rsidP="007113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590D4F98" w14:textId="77777777" w:rsidR="00E94851" w:rsidRDefault="00E94851" w:rsidP="007113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6EB36A9C" w14:textId="77777777" w:rsidR="00E94851" w:rsidRPr="00E94851" w:rsidRDefault="00E94851" w:rsidP="0071132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</w:p>
          <w:p w14:paraId="36FF623E" w14:textId="77777777" w:rsidR="00C525A3" w:rsidRPr="00E94851" w:rsidRDefault="00C525A3" w:rsidP="0077757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94851">
              <w:rPr>
                <w:rFonts w:ascii="Times New Roman" w:hAnsi="Times New Roman" w:cs="Times New Roman"/>
                <w:sz w:val="20"/>
                <w:szCs w:val="20"/>
              </w:rPr>
              <w:t xml:space="preserve">Teaching: tell </w:t>
            </w:r>
            <w:proofErr w:type="spellStart"/>
            <w:r w:rsidRPr="00E94851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Pr="00E94851">
              <w:rPr>
                <w:rFonts w:ascii="Times New Roman" w:hAnsi="Times New Roman" w:cs="Times New Roman"/>
                <w:sz w:val="20"/>
                <w:szCs w:val="20"/>
              </w:rPr>
              <w:t xml:space="preserve"> to report s/s of respiratory depression, severe constipation, or anaphylaxis.  Instruct </w:t>
            </w:r>
            <w:proofErr w:type="spellStart"/>
            <w:r w:rsidRPr="00E94851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Pr="00E94851">
              <w:rPr>
                <w:rFonts w:ascii="Times New Roman" w:hAnsi="Times New Roman" w:cs="Times New Roman"/>
                <w:sz w:val="20"/>
                <w:szCs w:val="20"/>
              </w:rPr>
              <w:t xml:space="preserve"> to rise slowly from a sitting/supine position, as drug may cause orthostatic hypotension and syncope. </w:t>
            </w:r>
          </w:p>
          <w:p w14:paraId="7E68C33B" w14:textId="77777777" w:rsidR="00C525A3" w:rsidRPr="00E94851" w:rsidRDefault="00C525A3" w:rsidP="0071132E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Times New Roman" w:hAnsi="Times New Roman"/>
              </w:rPr>
            </w:pPr>
          </w:p>
          <w:p w14:paraId="14169F0E" w14:textId="77777777" w:rsidR="00C525A3" w:rsidRPr="00E94851" w:rsidRDefault="00C525A3" w:rsidP="0071132E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14:paraId="42E08FDD" w14:textId="77777777" w:rsidR="00C525A3" w:rsidRPr="00E94851" w:rsidRDefault="00C525A3" w:rsidP="00C525A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4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Contraindicated in: </w:t>
            </w:r>
            <w:proofErr w:type="spellStart"/>
            <w:r w:rsidRPr="00E94851">
              <w:rPr>
                <w:rFonts w:ascii="Times New Roman" w:hAnsi="Times New Roman" w:cs="Times New Roman"/>
                <w:sz w:val="20"/>
                <w:szCs w:val="20"/>
              </w:rPr>
              <w:t>pts</w:t>
            </w:r>
            <w:proofErr w:type="spellEnd"/>
            <w:r w:rsidRPr="00E94851">
              <w:rPr>
                <w:rFonts w:ascii="Times New Roman" w:hAnsi="Times New Roman" w:cs="Times New Roman"/>
                <w:sz w:val="20"/>
                <w:szCs w:val="20"/>
              </w:rPr>
              <w:t xml:space="preserve"> with hypersensitivity to heparin, pork products, or in </w:t>
            </w:r>
            <w:proofErr w:type="spellStart"/>
            <w:r w:rsidRPr="00E94851">
              <w:rPr>
                <w:rFonts w:ascii="Times New Roman" w:hAnsi="Times New Roman" w:cs="Times New Roman"/>
                <w:sz w:val="20"/>
                <w:szCs w:val="20"/>
              </w:rPr>
              <w:t>pts</w:t>
            </w:r>
            <w:proofErr w:type="spellEnd"/>
            <w:r w:rsidRPr="00E94851">
              <w:rPr>
                <w:rFonts w:ascii="Times New Roman" w:hAnsi="Times New Roman" w:cs="Times New Roman"/>
                <w:sz w:val="20"/>
                <w:szCs w:val="20"/>
              </w:rPr>
              <w:t xml:space="preserve"> with active major bleeding</w:t>
            </w:r>
          </w:p>
          <w:p w14:paraId="3BFBD878" w14:textId="77777777" w:rsidR="00C525A3" w:rsidRPr="00E94851" w:rsidRDefault="00C525A3" w:rsidP="0071132E">
            <w:pPr>
              <w:ind w:right="576"/>
              <w:rPr>
                <w:sz w:val="20"/>
                <w:szCs w:val="20"/>
              </w:rPr>
            </w:pPr>
          </w:p>
          <w:p w14:paraId="47AC3C80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3599CA3A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67EFD0BC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409D9120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77D55FCC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4FC919E2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70F2C7D8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781CE9ED" w14:textId="77777777" w:rsidR="0077757E" w:rsidRPr="00E94851" w:rsidRDefault="0077757E" w:rsidP="0077757E">
            <w:pPr>
              <w:pStyle w:val="ListParagraph"/>
              <w:numPr>
                <w:ilvl w:val="0"/>
                <w:numId w:val="13"/>
              </w:numPr>
              <w:ind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E9485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Use with caution in patients with preexisting hearing loss, patients receiving ototoxic or nephrotoxic drugs, and patients receiving drugs that cause neutropenia, nephrotoxicity, and/or neurotoxicity.</w:t>
            </w:r>
            <w:r w:rsidRPr="00E94851">
              <w:rPr>
                <w:rFonts w:ascii="Times New Roman" w:hAnsi="Times New Roman" w:cs="Times New Roman"/>
                <w:sz w:val="20"/>
                <w:szCs w:val="20"/>
              </w:rPr>
              <w:t xml:space="preserve"> Contra: Hypersensitivity to </w:t>
            </w:r>
            <w:proofErr w:type="spellStart"/>
            <w:r w:rsidRPr="00E94851">
              <w:rPr>
                <w:rFonts w:ascii="Times New Roman" w:hAnsi="Times New Roman" w:cs="Times New Roman"/>
                <w:sz w:val="20"/>
                <w:szCs w:val="20"/>
              </w:rPr>
              <w:t>vancomycin</w:t>
            </w:r>
            <w:proofErr w:type="spellEnd"/>
            <w:r w:rsidRPr="00E94851">
              <w:rPr>
                <w:rFonts w:ascii="Times New Roman" w:hAnsi="Times New Roman" w:cs="Times New Roman"/>
                <w:sz w:val="20"/>
                <w:szCs w:val="20"/>
              </w:rPr>
              <w:t>; hypersensitivity to corn or corn products (Galaxy containers only).</w:t>
            </w:r>
          </w:p>
          <w:p w14:paraId="17E042AF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116AF643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412DE052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180393E4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5C4D4D18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1C93858F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627791BE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201F1B37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6463C3C0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6259947C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68082ECE" w14:textId="77777777" w:rsidR="0077757E" w:rsidRPr="00E94851" w:rsidRDefault="0077757E" w:rsidP="0071132E">
            <w:pPr>
              <w:rPr>
                <w:sz w:val="20"/>
                <w:szCs w:val="20"/>
              </w:rPr>
            </w:pPr>
          </w:p>
          <w:p w14:paraId="1CF88575" w14:textId="77777777" w:rsidR="0077757E" w:rsidRDefault="0077757E" w:rsidP="0071132E">
            <w:pPr>
              <w:rPr>
                <w:sz w:val="20"/>
                <w:szCs w:val="20"/>
              </w:rPr>
            </w:pPr>
          </w:p>
          <w:p w14:paraId="37DDEB96" w14:textId="11E37BEA" w:rsidR="00BB139E" w:rsidRPr="00BB139E" w:rsidRDefault="0095714F" w:rsidP="00BB139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Contraindications: </w:t>
            </w:r>
            <w:r>
              <w:t xml:space="preserve"> </w:t>
            </w:r>
            <w:r w:rsidR="00660705">
              <w:t xml:space="preserve"> </w:t>
            </w:r>
            <w:r w:rsidR="00660705" w:rsidRPr="00660705">
              <w:rPr>
                <w:sz w:val="20"/>
                <w:szCs w:val="20"/>
              </w:rPr>
              <w:t xml:space="preserve">Known hypersensitivity to </w:t>
            </w:r>
            <w:proofErr w:type="spellStart"/>
            <w:r w:rsidR="00660705" w:rsidRPr="00660705">
              <w:rPr>
                <w:sz w:val="20"/>
                <w:szCs w:val="20"/>
              </w:rPr>
              <w:t>penicillins</w:t>
            </w:r>
            <w:proofErr w:type="spellEnd"/>
            <w:r w:rsidR="00660705" w:rsidRPr="00660705">
              <w:rPr>
                <w:sz w:val="20"/>
                <w:szCs w:val="20"/>
              </w:rPr>
              <w:t xml:space="preserve">, </w:t>
            </w:r>
            <w:proofErr w:type="spellStart"/>
            <w:r w:rsidR="00660705" w:rsidRPr="00660705">
              <w:rPr>
                <w:sz w:val="20"/>
                <w:szCs w:val="20"/>
              </w:rPr>
              <w:t>cephalosporins</w:t>
            </w:r>
            <w:proofErr w:type="spellEnd"/>
            <w:r w:rsidR="00660705" w:rsidRPr="00660705">
              <w:rPr>
                <w:sz w:val="20"/>
                <w:szCs w:val="20"/>
              </w:rPr>
              <w:t xml:space="preserve">, or β-lactamase inhibitors (not absolute); see Precautions. ▪ Not recommended in infants and children under 16 years of age for the treatment of septicemia or infections where the suspected or proven pathogen is </w:t>
            </w:r>
            <w:proofErr w:type="spellStart"/>
            <w:r w:rsidR="00660705" w:rsidRPr="00660705">
              <w:rPr>
                <w:sz w:val="20"/>
                <w:szCs w:val="20"/>
              </w:rPr>
              <w:t>Haemophilus</w:t>
            </w:r>
            <w:proofErr w:type="spellEnd"/>
            <w:r w:rsidR="00660705" w:rsidRPr="00660705">
              <w:rPr>
                <w:sz w:val="20"/>
                <w:szCs w:val="20"/>
              </w:rPr>
              <w:t xml:space="preserve"> </w:t>
            </w:r>
            <w:proofErr w:type="spellStart"/>
            <w:r w:rsidR="00660705" w:rsidRPr="00660705">
              <w:rPr>
                <w:sz w:val="20"/>
                <w:szCs w:val="20"/>
              </w:rPr>
              <w:t>influenzae</w:t>
            </w:r>
            <w:proofErr w:type="spellEnd"/>
            <w:r w:rsidR="00660705" w:rsidRPr="00660705">
              <w:rPr>
                <w:sz w:val="20"/>
                <w:szCs w:val="20"/>
              </w:rPr>
              <w:t xml:space="preserve"> type B.</w:t>
            </w:r>
          </w:p>
          <w:p w14:paraId="57A3A52B" w14:textId="77777777" w:rsidR="00BB139E" w:rsidRPr="00E94851" w:rsidRDefault="00BB139E" w:rsidP="0071132E">
            <w:pPr>
              <w:rPr>
                <w:sz w:val="20"/>
                <w:szCs w:val="20"/>
              </w:rPr>
            </w:pPr>
          </w:p>
          <w:p w14:paraId="05248D35" w14:textId="77777777" w:rsidR="0077757E" w:rsidRDefault="0077757E" w:rsidP="0071132E">
            <w:pPr>
              <w:rPr>
                <w:sz w:val="20"/>
                <w:szCs w:val="20"/>
              </w:rPr>
            </w:pPr>
          </w:p>
          <w:p w14:paraId="3645A981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29849AD2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5F3445C6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7365B4D0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1FD68162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032E3CC9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1FDE96A1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39456D64" w14:textId="77777777" w:rsidR="00160055" w:rsidRDefault="00160055" w:rsidP="0071132E">
            <w:pPr>
              <w:rPr>
                <w:sz w:val="20"/>
                <w:szCs w:val="20"/>
              </w:rPr>
            </w:pPr>
          </w:p>
          <w:p w14:paraId="37826A13" w14:textId="77777777" w:rsidR="00160055" w:rsidRPr="00E94851" w:rsidRDefault="00160055" w:rsidP="0071132E">
            <w:pPr>
              <w:rPr>
                <w:sz w:val="20"/>
                <w:szCs w:val="20"/>
              </w:rPr>
            </w:pPr>
          </w:p>
          <w:p w14:paraId="4F763524" w14:textId="2CFED138" w:rsidR="00C525A3" w:rsidRPr="00E94851" w:rsidRDefault="0095714F" w:rsidP="0077757E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Contraindicated</w:t>
            </w:r>
            <w:r w:rsidR="00C525A3" w:rsidRPr="00E94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in patients who are allergic to </w:t>
            </w:r>
            <w:proofErr w:type="spellStart"/>
            <w:r w:rsidR="00C525A3" w:rsidRPr="00E94851">
              <w:rPr>
                <w:rFonts w:ascii="Times New Roman" w:eastAsia="Times New Roman" w:hAnsi="Times New Roman" w:cs="Times New Roman"/>
                <w:sz w:val="20"/>
                <w:szCs w:val="20"/>
              </w:rPr>
              <w:t>ondansetron</w:t>
            </w:r>
            <w:proofErr w:type="spellEnd"/>
            <w:r w:rsidR="00C525A3" w:rsidRPr="00E94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to similar medications such as </w:t>
            </w:r>
            <w:proofErr w:type="spellStart"/>
            <w:r w:rsidR="00C525A3" w:rsidRPr="00E94851">
              <w:rPr>
                <w:rFonts w:ascii="Times New Roman" w:eastAsia="Times New Roman" w:hAnsi="Times New Roman" w:cs="Times New Roman"/>
                <w:sz w:val="20"/>
                <w:szCs w:val="20"/>
              </w:rPr>
              <w:t>dolasetron</w:t>
            </w:r>
            <w:proofErr w:type="spellEnd"/>
            <w:r w:rsidR="00C525A3" w:rsidRPr="00E94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525A3" w:rsidRPr="00E94851">
              <w:rPr>
                <w:rFonts w:ascii="Times New Roman" w:eastAsia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="00C525A3" w:rsidRPr="00E94851">
              <w:rPr>
                <w:rFonts w:ascii="Times New Roman" w:eastAsia="Times New Roman" w:hAnsi="Times New Roman" w:cs="Times New Roman"/>
                <w:sz w:val="20"/>
                <w:szCs w:val="20"/>
              </w:rPr>
              <w:t>; patients with liver disease; Patients who have PKU</w:t>
            </w:r>
            <w:proofErr w:type="gramStart"/>
            <w:r w:rsidR="00C525A3" w:rsidRPr="00E94851">
              <w:rPr>
                <w:rFonts w:ascii="Times New Roman" w:eastAsia="Times New Roman" w:hAnsi="Times New Roman" w:cs="Times New Roman"/>
                <w:sz w:val="20"/>
                <w:szCs w:val="20"/>
              </w:rPr>
              <w:t>;  heart</w:t>
            </w:r>
            <w:proofErr w:type="gramEnd"/>
            <w:r w:rsidR="00C525A3" w:rsidRPr="00E94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disease; family history of Long QT syndrome; an electrolyte imbalance</w:t>
            </w:r>
          </w:p>
          <w:p w14:paraId="04E186E4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5B008004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3D3BF338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3FEE760C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3A3387DF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65F043DC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4D68448F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341B0288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0B3CFA6B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3D5F9AA3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17BC28CC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2875DBD3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4C7EEC97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3C474CE0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4206F339" w14:textId="77777777" w:rsidR="0071132E" w:rsidRPr="00E94851" w:rsidRDefault="0071132E" w:rsidP="0071132E">
            <w:pPr>
              <w:rPr>
                <w:sz w:val="20"/>
                <w:szCs w:val="20"/>
              </w:rPr>
            </w:pPr>
          </w:p>
          <w:p w14:paraId="1FADBB5C" w14:textId="77777777" w:rsidR="0071132E" w:rsidRPr="00E94851" w:rsidRDefault="0071132E" w:rsidP="0071132E">
            <w:pPr>
              <w:rPr>
                <w:sz w:val="20"/>
                <w:szCs w:val="20"/>
              </w:rPr>
            </w:pPr>
          </w:p>
          <w:p w14:paraId="06B2993F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0CADAC1B" w14:textId="77777777" w:rsidR="00C525A3" w:rsidRPr="00E94851" w:rsidRDefault="00C525A3" w:rsidP="0071132E">
            <w:pPr>
              <w:rPr>
                <w:sz w:val="20"/>
                <w:szCs w:val="20"/>
              </w:rPr>
            </w:pPr>
          </w:p>
          <w:p w14:paraId="7DB02D58" w14:textId="2DE56016" w:rsidR="00C525A3" w:rsidRPr="00E94851" w:rsidRDefault="00E94851" w:rsidP="00E9485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94851">
              <w:rPr>
                <w:rFonts w:ascii="Times New Roman" w:hAnsi="Times New Roman" w:cs="Times New Roman"/>
                <w:sz w:val="20"/>
                <w:szCs w:val="20"/>
              </w:rPr>
              <w:t xml:space="preserve">Contraindicated in those with Phenothiazine allergies. </w:t>
            </w:r>
          </w:p>
          <w:p w14:paraId="6AC8893E" w14:textId="77777777" w:rsidR="00C525A3" w:rsidRDefault="00C525A3" w:rsidP="0071132E">
            <w:pPr>
              <w:rPr>
                <w:sz w:val="20"/>
                <w:szCs w:val="20"/>
              </w:rPr>
            </w:pPr>
          </w:p>
          <w:p w14:paraId="02DE339F" w14:textId="77777777" w:rsidR="00E94851" w:rsidRDefault="00E94851" w:rsidP="0071132E">
            <w:pPr>
              <w:rPr>
                <w:sz w:val="20"/>
                <w:szCs w:val="20"/>
              </w:rPr>
            </w:pPr>
          </w:p>
          <w:p w14:paraId="216F00E7" w14:textId="77777777" w:rsidR="00E94851" w:rsidRDefault="00E94851" w:rsidP="0071132E">
            <w:pPr>
              <w:rPr>
                <w:sz w:val="20"/>
                <w:szCs w:val="20"/>
              </w:rPr>
            </w:pPr>
          </w:p>
          <w:p w14:paraId="3A8262DB" w14:textId="77777777" w:rsidR="00E94851" w:rsidRDefault="00E94851" w:rsidP="0071132E">
            <w:pPr>
              <w:rPr>
                <w:sz w:val="20"/>
                <w:szCs w:val="20"/>
              </w:rPr>
            </w:pPr>
          </w:p>
          <w:p w14:paraId="37173A3C" w14:textId="77777777" w:rsidR="00E94851" w:rsidRDefault="00E94851" w:rsidP="0071132E">
            <w:pPr>
              <w:rPr>
                <w:sz w:val="20"/>
                <w:szCs w:val="20"/>
              </w:rPr>
            </w:pPr>
          </w:p>
          <w:p w14:paraId="1121DF00" w14:textId="77777777" w:rsidR="00E94851" w:rsidRDefault="00E94851" w:rsidP="0071132E">
            <w:pPr>
              <w:rPr>
                <w:sz w:val="20"/>
                <w:szCs w:val="20"/>
              </w:rPr>
            </w:pPr>
          </w:p>
          <w:p w14:paraId="5B74B640" w14:textId="77777777" w:rsidR="00E94851" w:rsidRDefault="00E94851" w:rsidP="0071132E">
            <w:pPr>
              <w:rPr>
                <w:sz w:val="20"/>
                <w:szCs w:val="20"/>
              </w:rPr>
            </w:pPr>
          </w:p>
          <w:p w14:paraId="27809862" w14:textId="77777777" w:rsidR="00E94851" w:rsidRDefault="00E94851" w:rsidP="0071132E">
            <w:pPr>
              <w:rPr>
                <w:sz w:val="20"/>
                <w:szCs w:val="20"/>
              </w:rPr>
            </w:pPr>
          </w:p>
          <w:p w14:paraId="0B62A6FF" w14:textId="77777777" w:rsidR="00E94851" w:rsidRDefault="00E94851" w:rsidP="0071132E">
            <w:pPr>
              <w:rPr>
                <w:sz w:val="20"/>
                <w:szCs w:val="20"/>
              </w:rPr>
            </w:pPr>
          </w:p>
          <w:p w14:paraId="62AD2B5F" w14:textId="77777777" w:rsidR="00E94851" w:rsidRDefault="00E94851" w:rsidP="0071132E">
            <w:pPr>
              <w:rPr>
                <w:sz w:val="20"/>
                <w:szCs w:val="20"/>
              </w:rPr>
            </w:pPr>
          </w:p>
          <w:p w14:paraId="2865D832" w14:textId="77777777" w:rsidR="00E94851" w:rsidRDefault="00E94851" w:rsidP="0071132E">
            <w:pPr>
              <w:rPr>
                <w:sz w:val="20"/>
                <w:szCs w:val="20"/>
              </w:rPr>
            </w:pPr>
          </w:p>
          <w:p w14:paraId="6623B33B" w14:textId="77777777" w:rsidR="00E94851" w:rsidRPr="00E94851" w:rsidRDefault="00E94851" w:rsidP="0071132E">
            <w:pPr>
              <w:rPr>
                <w:sz w:val="20"/>
                <w:szCs w:val="20"/>
              </w:rPr>
            </w:pPr>
          </w:p>
          <w:p w14:paraId="2A460E87" w14:textId="77777777" w:rsidR="00C525A3" w:rsidRPr="00E94851" w:rsidRDefault="00C525A3" w:rsidP="0077757E">
            <w:pPr>
              <w:pStyle w:val="ListParagraph"/>
              <w:numPr>
                <w:ilvl w:val="0"/>
                <w:numId w:val="13"/>
              </w:numPr>
              <w:ind w:right="57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94851">
              <w:rPr>
                <w:rFonts w:ascii="Times New Roman" w:hAnsi="Times New Roman" w:cs="Times New Roman"/>
                <w:sz w:val="20"/>
                <w:szCs w:val="20"/>
              </w:rPr>
              <w:t xml:space="preserve">Contraindicated in: cardiac arrhythmias, CNS depression, head injuries, </w:t>
            </w:r>
            <w:proofErr w:type="spellStart"/>
            <w:r w:rsidRPr="00E94851">
              <w:rPr>
                <w:rFonts w:ascii="Times New Roman" w:hAnsi="Times New Roman" w:cs="Times New Roman"/>
                <w:sz w:val="20"/>
                <w:szCs w:val="20"/>
              </w:rPr>
              <w:t>hypercarbia</w:t>
            </w:r>
            <w:proofErr w:type="spellEnd"/>
            <w:r w:rsidRPr="00E94851">
              <w:rPr>
                <w:rFonts w:ascii="Times New Roman" w:hAnsi="Times New Roman" w:cs="Times New Roman"/>
                <w:sz w:val="20"/>
                <w:szCs w:val="20"/>
              </w:rPr>
              <w:t xml:space="preserve">, etc. </w:t>
            </w:r>
          </w:p>
          <w:p w14:paraId="5CA82663" w14:textId="77777777" w:rsidR="00C525A3" w:rsidRPr="00E94851" w:rsidRDefault="00C525A3" w:rsidP="0071132E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D57989" w14:textId="77777777" w:rsidR="00C525A3" w:rsidRPr="00E94851" w:rsidRDefault="00C525A3" w:rsidP="0071132E">
            <w:pPr>
              <w:pStyle w:val="ListParagraph"/>
              <w:ind w:left="360" w:right="5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59D5D9" w14:textId="77777777" w:rsidR="00C525A3" w:rsidRPr="00E94851" w:rsidRDefault="00C525A3" w:rsidP="00C525A3">
      <w:pPr>
        <w:jc w:val="center"/>
        <w:rPr>
          <w:sz w:val="20"/>
          <w:szCs w:val="20"/>
        </w:rPr>
      </w:pPr>
    </w:p>
    <w:p w14:paraId="5E6DC510" w14:textId="77777777" w:rsidR="00C525A3" w:rsidRPr="00E94851" w:rsidRDefault="00C525A3" w:rsidP="00C525A3">
      <w:pPr>
        <w:rPr>
          <w:sz w:val="20"/>
          <w:szCs w:val="20"/>
        </w:rPr>
      </w:pPr>
    </w:p>
    <w:p w14:paraId="342DF1D9" w14:textId="77777777" w:rsidR="00FF1362" w:rsidRPr="00E94851" w:rsidRDefault="00FF1362">
      <w:pPr>
        <w:rPr>
          <w:sz w:val="20"/>
          <w:szCs w:val="20"/>
        </w:rPr>
      </w:pPr>
    </w:p>
    <w:sectPr w:rsidR="00FF1362" w:rsidRPr="00E94851" w:rsidSect="00C525A3">
      <w:pgSz w:w="15840" w:h="12240" w:orient="landscape" w:code="5"/>
      <w:pgMar w:top="576" w:right="360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9E2"/>
    <w:multiLevelType w:val="hybridMultilevel"/>
    <w:tmpl w:val="B7BAE68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BAA18D8"/>
    <w:multiLevelType w:val="hybridMultilevel"/>
    <w:tmpl w:val="53683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8A7E95"/>
    <w:multiLevelType w:val="hybridMultilevel"/>
    <w:tmpl w:val="6360F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14B95"/>
    <w:multiLevelType w:val="hybridMultilevel"/>
    <w:tmpl w:val="F44EF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575378"/>
    <w:multiLevelType w:val="hybridMultilevel"/>
    <w:tmpl w:val="8DC075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B8403D"/>
    <w:multiLevelType w:val="hybridMultilevel"/>
    <w:tmpl w:val="03D20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1870CF"/>
    <w:multiLevelType w:val="hybridMultilevel"/>
    <w:tmpl w:val="7B34EF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B6772C"/>
    <w:multiLevelType w:val="hybridMultilevel"/>
    <w:tmpl w:val="6BD693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5E0294"/>
    <w:multiLevelType w:val="hybridMultilevel"/>
    <w:tmpl w:val="E7B47F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271FBA"/>
    <w:multiLevelType w:val="hybridMultilevel"/>
    <w:tmpl w:val="30BC0F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0E1911"/>
    <w:multiLevelType w:val="multilevel"/>
    <w:tmpl w:val="81087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182984"/>
    <w:multiLevelType w:val="hybridMultilevel"/>
    <w:tmpl w:val="574C4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D1799D"/>
    <w:multiLevelType w:val="hybridMultilevel"/>
    <w:tmpl w:val="6C080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B620D1"/>
    <w:multiLevelType w:val="hybridMultilevel"/>
    <w:tmpl w:val="6D0A9F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905274"/>
    <w:multiLevelType w:val="hybridMultilevel"/>
    <w:tmpl w:val="78061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71197D"/>
    <w:multiLevelType w:val="hybridMultilevel"/>
    <w:tmpl w:val="213E9B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FD04C9"/>
    <w:multiLevelType w:val="hybridMultilevel"/>
    <w:tmpl w:val="93A0CB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54481A"/>
    <w:multiLevelType w:val="hybridMultilevel"/>
    <w:tmpl w:val="70B655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19181A"/>
    <w:multiLevelType w:val="hybridMultilevel"/>
    <w:tmpl w:val="810877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2B7304"/>
    <w:multiLevelType w:val="hybridMultilevel"/>
    <w:tmpl w:val="1794F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16"/>
  </w:num>
  <w:num w:numId="8">
    <w:abstractNumId w:val="10"/>
  </w:num>
  <w:num w:numId="9">
    <w:abstractNumId w:val="12"/>
  </w:num>
  <w:num w:numId="10">
    <w:abstractNumId w:val="13"/>
  </w:num>
  <w:num w:numId="11">
    <w:abstractNumId w:val="4"/>
  </w:num>
  <w:num w:numId="12">
    <w:abstractNumId w:val="1"/>
  </w:num>
  <w:num w:numId="13">
    <w:abstractNumId w:val="14"/>
  </w:num>
  <w:num w:numId="14">
    <w:abstractNumId w:val="11"/>
  </w:num>
  <w:num w:numId="15">
    <w:abstractNumId w:val="19"/>
  </w:num>
  <w:num w:numId="16">
    <w:abstractNumId w:val="8"/>
  </w:num>
  <w:num w:numId="17">
    <w:abstractNumId w:val="2"/>
  </w:num>
  <w:num w:numId="18">
    <w:abstractNumId w:val="0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5E"/>
    <w:rsid w:val="000B5A19"/>
    <w:rsid w:val="00160055"/>
    <w:rsid w:val="00206FAD"/>
    <w:rsid w:val="003A26EB"/>
    <w:rsid w:val="00660705"/>
    <w:rsid w:val="0071132E"/>
    <w:rsid w:val="0077757E"/>
    <w:rsid w:val="0095714F"/>
    <w:rsid w:val="009A7D5E"/>
    <w:rsid w:val="00AB754C"/>
    <w:rsid w:val="00BB139E"/>
    <w:rsid w:val="00C525A3"/>
    <w:rsid w:val="00E94851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4AE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5A3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25A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unhideWhenUsed/>
    <w:rsid w:val="00C525A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5A3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25A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unhideWhenUsed/>
    <w:rsid w:val="00C525A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5329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BebBadfasd</dc:creator>
  <cp:lastModifiedBy>Christina Hebert</cp:lastModifiedBy>
  <cp:revision>2</cp:revision>
  <dcterms:created xsi:type="dcterms:W3CDTF">2013-08-22T01:28:00Z</dcterms:created>
  <dcterms:modified xsi:type="dcterms:W3CDTF">2013-08-22T01:28:00Z</dcterms:modified>
</cp:coreProperties>
</file>